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29" w:rsidRPr="007B05DD" w:rsidRDefault="00AE3B29" w:rsidP="00AE3B29">
      <w:pPr>
        <w:jc w:val="both"/>
        <w:rPr>
          <w:b/>
          <w:smallCaps/>
          <w:sz w:val="56"/>
          <w:szCs w:val="56"/>
        </w:rPr>
      </w:pPr>
      <w:r>
        <w:rPr>
          <w:b/>
          <w:smallCaps/>
          <w:sz w:val="56"/>
          <w:szCs w:val="56"/>
        </w:rPr>
        <w:t>11</w:t>
      </w:r>
    </w:p>
    <w:p w:rsidR="00AE3B29" w:rsidRDefault="00AE3B29" w:rsidP="00AE3B29">
      <w:pPr>
        <w:jc w:val="both"/>
        <w:rPr>
          <w:b/>
          <w:smallCaps/>
          <w:sz w:val="36"/>
          <w:szCs w:val="28"/>
        </w:rPr>
      </w:pPr>
    </w:p>
    <w:p w:rsidR="00AE3B29" w:rsidRPr="00C13E12" w:rsidRDefault="00AE3B29" w:rsidP="00AE3B29">
      <w:pPr>
        <w:rPr>
          <w:b/>
          <w:caps/>
          <w:sz w:val="36"/>
          <w:szCs w:val="28"/>
        </w:rPr>
      </w:pPr>
      <w:r w:rsidRPr="00C13E12">
        <w:rPr>
          <w:b/>
          <w:caps/>
          <w:sz w:val="36"/>
          <w:szCs w:val="28"/>
        </w:rPr>
        <w:t>Methodological Developments in Activity-Travel Behavior Analysis</w:t>
      </w:r>
    </w:p>
    <w:p w:rsidR="00AE3B29" w:rsidRPr="00C37C90" w:rsidRDefault="00AE3B29" w:rsidP="00AE3B29">
      <w:pPr>
        <w:rPr>
          <w:b/>
          <w:smallCaps/>
          <w:sz w:val="36"/>
          <w:szCs w:val="28"/>
        </w:rPr>
      </w:pPr>
    </w:p>
    <w:p w:rsidR="00AE3B29" w:rsidRPr="00A76A33" w:rsidRDefault="00AE3B29" w:rsidP="00AE3B29">
      <w:pPr>
        <w:rPr>
          <w:b/>
          <w:i/>
          <w:sz w:val="32"/>
          <w:szCs w:val="32"/>
        </w:rPr>
      </w:pPr>
      <w:r w:rsidRPr="00A76A33">
        <w:rPr>
          <w:b/>
          <w:i/>
          <w:sz w:val="32"/>
          <w:szCs w:val="32"/>
        </w:rPr>
        <w:t xml:space="preserve">David Brownstone </w:t>
      </w:r>
    </w:p>
    <w:p w:rsidR="00AE3B29" w:rsidRPr="00C13E12" w:rsidRDefault="00AE3B29" w:rsidP="00AE3B29">
      <w:pPr>
        <w:rPr>
          <w:i/>
          <w:szCs w:val="22"/>
          <w:lang w:val="en-GB"/>
        </w:rPr>
      </w:pPr>
      <w:r w:rsidRPr="00C13E12">
        <w:rPr>
          <w:i/>
          <w:szCs w:val="22"/>
        </w:rPr>
        <w:t>University of California</w:t>
      </w:r>
      <w:r>
        <w:rPr>
          <w:i/>
          <w:szCs w:val="22"/>
        </w:rPr>
        <w:t>, Irvine, USA</w:t>
      </w:r>
    </w:p>
    <w:p w:rsidR="00AE3B29" w:rsidRDefault="00AE3B29" w:rsidP="00AE3B29">
      <w:pPr>
        <w:jc w:val="both"/>
        <w:rPr>
          <w:szCs w:val="22"/>
          <w:lang w:val="pt-BR"/>
        </w:rPr>
      </w:pPr>
    </w:p>
    <w:p w:rsidR="00AE3B29" w:rsidRPr="00C37C90" w:rsidRDefault="00AE3B29" w:rsidP="00AE3B29">
      <w:pPr>
        <w:jc w:val="both"/>
        <w:rPr>
          <w:szCs w:val="22"/>
          <w:lang w:val="pt-BR"/>
        </w:rPr>
      </w:pPr>
    </w:p>
    <w:p w:rsidR="00AE3B29" w:rsidRPr="00B37C46" w:rsidRDefault="00AE3B29" w:rsidP="00AE3B29">
      <w:pPr>
        <w:numPr>
          <w:ilvl w:val="0"/>
          <w:numId w:val="2"/>
        </w:numPr>
        <w:ind w:left="540" w:hanging="540"/>
        <w:rPr>
          <w:b/>
          <w:smallCaps/>
          <w:szCs w:val="22"/>
        </w:rPr>
      </w:pPr>
      <w:r w:rsidRPr="00B37C46">
        <w:rPr>
          <w:b/>
          <w:smallCaps/>
          <w:szCs w:val="22"/>
        </w:rPr>
        <w:t>Introduction</w:t>
      </w:r>
    </w:p>
    <w:p w:rsidR="00AE3B29" w:rsidRPr="00CE5220" w:rsidRDefault="00AE3B29" w:rsidP="00AE3B29">
      <w:pPr>
        <w:jc w:val="both"/>
        <w:rPr>
          <w:b/>
          <w:szCs w:val="22"/>
        </w:rPr>
      </w:pPr>
    </w:p>
    <w:p w:rsidR="00AE3B29" w:rsidRPr="00C13E12" w:rsidRDefault="00AE3B29" w:rsidP="00AE3B29">
      <w:pPr>
        <w:jc w:val="both"/>
        <w:rPr>
          <w:sz w:val="20"/>
          <w:szCs w:val="20"/>
        </w:rPr>
      </w:pPr>
      <w:r w:rsidRPr="00C13E12">
        <w:rPr>
          <w:sz w:val="20"/>
          <w:szCs w:val="20"/>
        </w:rPr>
        <w:t>Ten years ago I wrote a resource paper on “Discrete Choice Modeling for Transportation” for the 9</w:t>
      </w:r>
      <w:r w:rsidRPr="00C13E12">
        <w:rPr>
          <w:sz w:val="20"/>
          <w:szCs w:val="20"/>
          <w:vertAlign w:val="superscript"/>
        </w:rPr>
        <w:t>th</w:t>
      </w:r>
      <w:r w:rsidRPr="00C13E12">
        <w:rPr>
          <w:sz w:val="20"/>
          <w:szCs w:val="20"/>
        </w:rPr>
        <w:t xml:space="preserve"> IATBR conference on the Gold Coast of Australia (Brownstone, 2001).</w:t>
      </w:r>
      <w:r>
        <w:rPr>
          <w:sz w:val="20"/>
          <w:szCs w:val="20"/>
        </w:rPr>
        <w:t xml:space="preserve"> </w:t>
      </w:r>
      <w:r w:rsidRPr="00C13E12">
        <w:rPr>
          <w:sz w:val="20"/>
          <w:szCs w:val="20"/>
        </w:rPr>
        <w:t>While the scope of the resource paper for this conference is broader, it is still interesting to review the claims and recommendations made ten years ago to see how they have been received in our profession.</w:t>
      </w:r>
      <w:r>
        <w:rPr>
          <w:sz w:val="20"/>
          <w:szCs w:val="20"/>
        </w:rPr>
        <w:t xml:space="preserve"> </w:t>
      </w:r>
      <w:r w:rsidRPr="00C13E12">
        <w:rPr>
          <w:sz w:val="20"/>
          <w:szCs w:val="20"/>
        </w:rPr>
        <w:t>The purpose of this paper is to stimulate discussion about methodological developments in travel behavior analysis.</w:t>
      </w:r>
      <w:r>
        <w:rPr>
          <w:sz w:val="20"/>
          <w:szCs w:val="20"/>
        </w:rPr>
        <w:t xml:space="preserve"> </w:t>
      </w:r>
      <w:r w:rsidRPr="00C13E12">
        <w:rPr>
          <w:sz w:val="20"/>
          <w:szCs w:val="20"/>
        </w:rPr>
        <w:t>I will therefore concentrate on topics that I find relevant instead of trying to survey the large literature in this area.</w:t>
      </w:r>
    </w:p>
    <w:p w:rsidR="00AE3B29" w:rsidRPr="00C13E12" w:rsidRDefault="00AE3B29" w:rsidP="00AE3B29">
      <w:pPr>
        <w:jc w:val="both"/>
        <w:rPr>
          <w:sz w:val="20"/>
          <w:szCs w:val="20"/>
        </w:rPr>
      </w:pPr>
    </w:p>
    <w:p w:rsidR="00AE3B29" w:rsidRPr="00C13E12" w:rsidRDefault="00AE3B29" w:rsidP="00AE3B29">
      <w:pPr>
        <w:jc w:val="both"/>
        <w:rPr>
          <w:sz w:val="20"/>
          <w:szCs w:val="20"/>
        </w:rPr>
      </w:pPr>
      <w:r w:rsidRPr="00C13E12">
        <w:rPr>
          <w:sz w:val="20"/>
          <w:szCs w:val="20"/>
        </w:rPr>
        <w:t>Although there have been many advances in methodology over the last decade, I will argue that we are not paying enough attention to numerical and inference problems with maximum simulated likelihood estimation.</w:t>
      </w:r>
      <w:r>
        <w:rPr>
          <w:sz w:val="20"/>
          <w:szCs w:val="20"/>
        </w:rPr>
        <w:t xml:space="preserve"> </w:t>
      </w:r>
      <w:r w:rsidRPr="00C13E12">
        <w:rPr>
          <w:sz w:val="20"/>
          <w:szCs w:val="20"/>
        </w:rPr>
        <w:t>We should also concentrate more efforts on getting valid inference for forecasts and willingness-to-pay measures (WTP), measurement error, and model uncertainty.</w:t>
      </w:r>
      <w:r>
        <w:rPr>
          <w:sz w:val="20"/>
          <w:szCs w:val="20"/>
        </w:rPr>
        <w:t xml:space="preserve"> </w:t>
      </w:r>
      <w:r w:rsidRPr="00C13E12">
        <w:rPr>
          <w:sz w:val="20"/>
          <w:szCs w:val="20"/>
        </w:rPr>
        <w:t>All of these are best handled using Bayesian models and estimation techniques.</w:t>
      </w:r>
    </w:p>
    <w:p w:rsidR="00AE3B29" w:rsidRPr="00C13E12" w:rsidRDefault="00AE3B29" w:rsidP="00AE3B29">
      <w:pPr>
        <w:jc w:val="both"/>
        <w:rPr>
          <w:sz w:val="20"/>
          <w:szCs w:val="20"/>
        </w:rPr>
      </w:pPr>
    </w:p>
    <w:p w:rsidR="00AE3B29" w:rsidRPr="00C13E12" w:rsidRDefault="00AE3B29" w:rsidP="00AE3B29">
      <w:pPr>
        <w:jc w:val="both"/>
        <w:rPr>
          <w:sz w:val="20"/>
          <w:szCs w:val="20"/>
        </w:rPr>
      </w:pPr>
      <w:r w:rsidRPr="00C13E12">
        <w:rPr>
          <w:sz w:val="20"/>
          <w:szCs w:val="20"/>
        </w:rPr>
        <w:t>A fairly close parody of what most empirical researchers (including frequently me) do is to fit the most sophisticated and complicated model we can subject to the constraint that key parameters have the expected sign and have t-statistics at least two in absolute magnitude.</w:t>
      </w:r>
      <w:r>
        <w:rPr>
          <w:sz w:val="20"/>
          <w:szCs w:val="20"/>
        </w:rPr>
        <w:t xml:space="preserve"> </w:t>
      </w:r>
      <w:r w:rsidRPr="00C13E12">
        <w:rPr>
          <w:sz w:val="20"/>
          <w:szCs w:val="20"/>
        </w:rPr>
        <w:t>As we work with larger and more accurate data, this methodology will lead to larger models with more parameters.</w:t>
      </w:r>
      <w:r>
        <w:rPr>
          <w:sz w:val="20"/>
          <w:szCs w:val="20"/>
        </w:rPr>
        <w:t xml:space="preserve"> </w:t>
      </w:r>
      <w:r w:rsidRPr="00C13E12">
        <w:rPr>
          <w:sz w:val="20"/>
          <w:szCs w:val="20"/>
        </w:rPr>
        <w:t>This approach is reinforced since this type of work is relatively easy to publish in high-prestige methodological journals. Unfortunately almost all of the models we used are parameterized so that quantities we frequently are interested in (e.g.</w:t>
      </w:r>
      <w:r w:rsidR="007C436E">
        <w:rPr>
          <w:sz w:val="20"/>
          <w:szCs w:val="20"/>
        </w:rPr>
        <w:t>,</w:t>
      </w:r>
      <w:r w:rsidRPr="00C13E12">
        <w:rPr>
          <w:sz w:val="20"/>
          <w:szCs w:val="20"/>
        </w:rPr>
        <w:t xml:space="preserve"> WTP, </w:t>
      </w:r>
      <w:proofErr w:type="spellStart"/>
      <w:r w:rsidRPr="00C13E12">
        <w:rPr>
          <w:sz w:val="20"/>
          <w:szCs w:val="20"/>
        </w:rPr>
        <w:t>elasticities</w:t>
      </w:r>
      <w:proofErr w:type="spellEnd"/>
      <w:r w:rsidRPr="00C13E12">
        <w:rPr>
          <w:sz w:val="20"/>
          <w:szCs w:val="20"/>
        </w:rPr>
        <w:t>, scenario forecasts) are complex nonlinear functions of many parameters and data.</w:t>
      </w:r>
      <w:r>
        <w:rPr>
          <w:sz w:val="20"/>
          <w:szCs w:val="20"/>
        </w:rPr>
        <w:t xml:space="preserve"> </w:t>
      </w:r>
      <w:r w:rsidRPr="00C13E12">
        <w:rPr>
          <w:sz w:val="20"/>
          <w:szCs w:val="20"/>
        </w:rPr>
        <w:t>There is no guarantee that more complex models will yield more accurate estimates of these interesting quantities.</w:t>
      </w:r>
      <w:r>
        <w:rPr>
          <w:sz w:val="20"/>
          <w:szCs w:val="20"/>
        </w:rPr>
        <w:t xml:space="preserve"> </w:t>
      </w:r>
      <w:r w:rsidRPr="00C13E12">
        <w:rPr>
          <w:sz w:val="20"/>
          <w:szCs w:val="20"/>
        </w:rPr>
        <w:t xml:space="preserve">For example, Greene and Hensher (2010) find no statistically significant differences between multinomial </w:t>
      </w:r>
      <w:proofErr w:type="spellStart"/>
      <w:r w:rsidRPr="00C13E12">
        <w:rPr>
          <w:sz w:val="20"/>
          <w:szCs w:val="20"/>
        </w:rPr>
        <w:t>logit</w:t>
      </w:r>
      <w:proofErr w:type="spellEnd"/>
      <w:r w:rsidRPr="00C13E12">
        <w:rPr>
          <w:sz w:val="20"/>
          <w:szCs w:val="20"/>
        </w:rPr>
        <w:t xml:space="preserve"> model elasticity estimates and those derived from a variety of increasingly complex models of </w:t>
      </w:r>
      <w:r w:rsidRPr="00C13E12">
        <w:rPr>
          <w:sz w:val="20"/>
          <w:szCs w:val="20"/>
        </w:rPr>
        <w:lastRenderedPageBreak/>
        <w:t xml:space="preserve">mode choice in a </w:t>
      </w:r>
      <w:smartTag w:uri="urn:schemas-microsoft-com:office:smarttags" w:element="City">
        <w:smartTag w:uri="urn:schemas-microsoft-com:office:smarttags" w:element="place">
          <w:r w:rsidRPr="00C13E12">
            <w:rPr>
              <w:sz w:val="20"/>
              <w:szCs w:val="20"/>
            </w:rPr>
            <w:t>Sydney</w:t>
          </w:r>
        </w:smartTag>
      </w:smartTag>
      <w:r w:rsidRPr="00C13E12">
        <w:rPr>
          <w:sz w:val="20"/>
          <w:szCs w:val="20"/>
        </w:rPr>
        <w:t xml:space="preserve"> data set.</w:t>
      </w:r>
      <w:r>
        <w:rPr>
          <w:sz w:val="20"/>
          <w:szCs w:val="20"/>
        </w:rPr>
        <w:t xml:space="preserve"> </w:t>
      </w:r>
      <w:r w:rsidRPr="00C13E12">
        <w:rPr>
          <w:sz w:val="20"/>
          <w:szCs w:val="20"/>
        </w:rPr>
        <w:t>Brownstone and Small (2005) similarly find no differences in WTP estimates from a variety of high-occupancy toll lane choice models.</w:t>
      </w:r>
    </w:p>
    <w:p w:rsidR="00AE3B29" w:rsidRPr="00C13E12" w:rsidRDefault="00AE3B29" w:rsidP="00AE3B29">
      <w:pPr>
        <w:jc w:val="both"/>
        <w:rPr>
          <w:sz w:val="20"/>
          <w:szCs w:val="20"/>
        </w:rPr>
      </w:pPr>
    </w:p>
    <w:p w:rsidR="00AE3B29" w:rsidRPr="00C13E12" w:rsidRDefault="00AE3B29" w:rsidP="00AE3B29">
      <w:pPr>
        <w:jc w:val="both"/>
        <w:rPr>
          <w:sz w:val="20"/>
          <w:szCs w:val="20"/>
        </w:rPr>
      </w:pPr>
      <w:r w:rsidRPr="00C13E12">
        <w:rPr>
          <w:sz w:val="20"/>
          <w:szCs w:val="20"/>
        </w:rPr>
        <w:t>We should therefore concentrate on models that produce accurate forecasts of interesting quantities.</w:t>
      </w:r>
      <w:r>
        <w:rPr>
          <w:sz w:val="20"/>
          <w:szCs w:val="20"/>
        </w:rPr>
        <w:t xml:space="preserve"> </w:t>
      </w:r>
      <w:r w:rsidRPr="00C13E12">
        <w:rPr>
          <w:sz w:val="20"/>
          <w:szCs w:val="20"/>
        </w:rPr>
        <w:t>Ideally the quality of these forecasts should be checked using independent data, but in practice this usually means a “holdout sample” of the data which is set aside and not used for model estimation (see e.g.</w:t>
      </w:r>
      <w:r w:rsidR="007C436E">
        <w:rPr>
          <w:sz w:val="20"/>
          <w:szCs w:val="20"/>
        </w:rPr>
        <w:t>,</w:t>
      </w:r>
      <w:r w:rsidRPr="00C13E12">
        <w:rPr>
          <w:sz w:val="20"/>
          <w:szCs w:val="20"/>
        </w:rPr>
        <w:t xml:space="preserve"> Brownstone and Fang, 2009). Since there is usually uncertainty about the correct model specification, these forecasts should be done for a range of reasonable models.</w:t>
      </w:r>
      <w:r>
        <w:rPr>
          <w:sz w:val="20"/>
          <w:szCs w:val="20"/>
        </w:rPr>
        <w:t xml:space="preserve"> </w:t>
      </w:r>
      <w:r w:rsidRPr="00C13E12">
        <w:rPr>
          <w:sz w:val="20"/>
          <w:szCs w:val="20"/>
        </w:rPr>
        <w:t>Bayesian model averaging (described in the third section of this paper) provides an excellent methodology for incorporating model specification uncertainty into confidence regions for model forecasts.</w:t>
      </w:r>
    </w:p>
    <w:p w:rsidR="00AE3B29" w:rsidRPr="00077D2B" w:rsidRDefault="00AE3B29" w:rsidP="00AE3B29">
      <w:pPr>
        <w:jc w:val="both"/>
        <w:rPr>
          <w:szCs w:val="20"/>
        </w:rPr>
      </w:pPr>
    </w:p>
    <w:p w:rsidR="00AE3B29" w:rsidRPr="00B37C46" w:rsidRDefault="00AE3B29" w:rsidP="00AE3B29">
      <w:pPr>
        <w:jc w:val="both"/>
        <w:rPr>
          <w:szCs w:val="20"/>
        </w:rPr>
      </w:pPr>
    </w:p>
    <w:p w:rsidR="00AE3B29" w:rsidRPr="00C13E12" w:rsidRDefault="00AE3B29" w:rsidP="00AE3B29">
      <w:pPr>
        <w:numPr>
          <w:ilvl w:val="0"/>
          <w:numId w:val="2"/>
        </w:numPr>
        <w:ind w:left="540" w:hanging="540"/>
        <w:rPr>
          <w:b/>
          <w:smallCaps/>
          <w:szCs w:val="22"/>
        </w:rPr>
      </w:pPr>
      <w:bookmarkStart w:id="0" w:name="_Ref473276473"/>
      <w:r w:rsidRPr="00C13E12">
        <w:rPr>
          <w:b/>
          <w:smallCaps/>
          <w:szCs w:val="22"/>
        </w:rPr>
        <w:t>Flexible Discrete Choice Models</w:t>
      </w:r>
      <w:bookmarkEnd w:id="0"/>
    </w:p>
    <w:p w:rsidR="00AE3B29" w:rsidRPr="00077D2B" w:rsidRDefault="00AE3B29" w:rsidP="00AE3B29">
      <w:pPr>
        <w:jc w:val="both"/>
        <w:rPr>
          <w:szCs w:val="22"/>
        </w:rPr>
      </w:pPr>
    </w:p>
    <w:p w:rsidR="00AE3B29" w:rsidRPr="00C13E12" w:rsidRDefault="00AE3B29" w:rsidP="00AE3B29">
      <w:pPr>
        <w:jc w:val="both"/>
        <w:rPr>
          <w:sz w:val="20"/>
          <w:szCs w:val="22"/>
        </w:rPr>
      </w:pPr>
      <w:r w:rsidRPr="00C13E12">
        <w:rPr>
          <w:sz w:val="20"/>
          <w:szCs w:val="22"/>
        </w:rPr>
        <w:t xml:space="preserve">Ten years ago I said that mixed </w:t>
      </w:r>
      <w:proofErr w:type="spellStart"/>
      <w:r w:rsidRPr="00C13E12">
        <w:rPr>
          <w:sz w:val="20"/>
          <w:szCs w:val="22"/>
        </w:rPr>
        <w:t>logit</w:t>
      </w:r>
      <w:proofErr w:type="spellEnd"/>
      <w:r w:rsidRPr="00C13E12">
        <w:rPr>
          <w:sz w:val="20"/>
          <w:szCs w:val="22"/>
        </w:rPr>
        <w:t xml:space="preserve"> models were the wave of the future, but that there needed to be improvements in software and computation to fully realize their promise.</w:t>
      </w:r>
      <w:r>
        <w:rPr>
          <w:sz w:val="20"/>
          <w:szCs w:val="22"/>
        </w:rPr>
        <w:t xml:space="preserve"> </w:t>
      </w:r>
      <w:r w:rsidRPr="00C13E12">
        <w:rPr>
          <w:sz w:val="20"/>
          <w:szCs w:val="22"/>
        </w:rPr>
        <w:t>During the next decade there have been considerable improvements in software.</w:t>
      </w:r>
      <w:r>
        <w:rPr>
          <w:sz w:val="20"/>
          <w:szCs w:val="22"/>
        </w:rPr>
        <w:t xml:space="preserve"> </w:t>
      </w:r>
      <w:r w:rsidR="005E4624">
        <w:rPr>
          <w:sz w:val="20"/>
          <w:szCs w:val="22"/>
        </w:rPr>
        <w:t>ALOGIT, BIOGEM</w:t>
      </w:r>
      <w:r w:rsidRPr="00C13E12">
        <w:rPr>
          <w:sz w:val="20"/>
          <w:szCs w:val="22"/>
        </w:rPr>
        <w:t xml:space="preserve">E, NLOGIT, and even STATA all have mixed </w:t>
      </w:r>
      <w:proofErr w:type="spellStart"/>
      <w:r w:rsidRPr="00C13E12">
        <w:rPr>
          <w:sz w:val="20"/>
          <w:szCs w:val="22"/>
        </w:rPr>
        <w:t>logit</w:t>
      </w:r>
      <w:proofErr w:type="spellEnd"/>
      <w:r w:rsidRPr="00C13E12">
        <w:rPr>
          <w:sz w:val="20"/>
          <w:szCs w:val="22"/>
        </w:rPr>
        <w:t xml:space="preserve"> code, and most of these use improved “low-dispersion” to speed up calculations.</w:t>
      </w:r>
      <w:r>
        <w:rPr>
          <w:sz w:val="20"/>
          <w:szCs w:val="22"/>
        </w:rPr>
        <w:t xml:space="preserve"> </w:t>
      </w:r>
      <w:r w:rsidRPr="00C13E12">
        <w:rPr>
          <w:sz w:val="20"/>
          <w:szCs w:val="22"/>
        </w:rPr>
        <w:t>Train’s 2003 (now available in the second edition</w:t>
      </w:r>
      <w:r>
        <w:rPr>
          <w:sz w:val="20"/>
          <w:szCs w:val="22"/>
        </w:rPr>
        <w:t xml:space="preserve"> (Train, 2009)</w:t>
      </w:r>
      <w:r w:rsidRPr="00C13E12">
        <w:rPr>
          <w:sz w:val="20"/>
          <w:szCs w:val="22"/>
        </w:rPr>
        <w:t xml:space="preserve">) book also helped popularize mixed </w:t>
      </w:r>
      <w:proofErr w:type="spellStart"/>
      <w:r w:rsidRPr="00C13E12">
        <w:rPr>
          <w:sz w:val="20"/>
          <w:szCs w:val="22"/>
        </w:rPr>
        <w:t>logit</w:t>
      </w:r>
      <w:proofErr w:type="spellEnd"/>
      <w:r w:rsidRPr="00C13E12">
        <w:rPr>
          <w:sz w:val="20"/>
          <w:szCs w:val="22"/>
        </w:rPr>
        <w:t xml:space="preserve">, but Hensher and Greene (2003) cautioned that there are many pitfalls not fully appreciated by researchers applying mixed </w:t>
      </w:r>
      <w:proofErr w:type="spellStart"/>
      <w:r w:rsidRPr="00C13E12">
        <w:rPr>
          <w:sz w:val="20"/>
          <w:szCs w:val="22"/>
        </w:rPr>
        <w:t>logit</w:t>
      </w:r>
      <w:proofErr w:type="spellEnd"/>
      <w:r w:rsidRPr="00C13E12">
        <w:rPr>
          <w:sz w:val="20"/>
          <w:szCs w:val="22"/>
        </w:rPr>
        <w:t>.</w:t>
      </w:r>
      <w:r>
        <w:rPr>
          <w:sz w:val="20"/>
          <w:szCs w:val="22"/>
        </w:rPr>
        <w:t xml:space="preserve"> </w:t>
      </w:r>
      <w:r w:rsidRPr="00C13E12">
        <w:rPr>
          <w:sz w:val="20"/>
          <w:szCs w:val="22"/>
        </w:rPr>
        <w:t xml:space="preserve">Hensher and Greene point out that there are many choices to be made when specifying mixed </w:t>
      </w:r>
      <w:proofErr w:type="spellStart"/>
      <w:r w:rsidRPr="00C13E12">
        <w:rPr>
          <w:sz w:val="20"/>
          <w:szCs w:val="22"/>
        </w:rPr>
        <w:t>logit</w:t>
      </w:r>
      <w:proofErr w:type="spellEnd"/>
      <w:r w:rsidRPr="00C13E12">
        <w:rPr>
          <w:sz w:val="20"/>
          <w:szCs w:val="22"/>
        </w:rPr>
        <w:t xml:space="preserve"> models, and those seemingly innocuous choices about distributions of random components can lead to very unrealistic distributions of derived quantities like willingness to pay measures.</w:t>
      </w:r>
      <w:r>
        <w:rPr>
          <w:sz w:val="20"/>
          <w:szCs w:val="22"/>
        </w:rPr>
        <w:t xml:space="preserve"> </w:t>
      </w:r>
      <w:r w:rsidRPr="00C13E12">
        <w:rPr>
          <w:sz w:val="20"/>
          <w:szCs w:val="22"/>
        </w:rPr>
        <w:t xml:space="preserve">Hensher and Greene also point out that our typical data do not clearly identify the complex heterogeneity patterns commonly specified by mixed </w:t>
      </w:r>
      <w:proofErr w:type="spellStart"/>
      <w:r w:rsidRPr="00C13E12">
        <w:rPr>
          <w:sz w:val="20"/>
          <w:szCs w:val="22"/>
        </w:rPr>
        <w:t>logit</w:t>
      </w:r>
      <w:proofErr w:type="spellEnd"/>
      <w:r w:rsidRPr="00C13E12">
        <w:rPr>
          <w:sz w:val="20"/>
          <w:szCs w:val="22"/>
        </w:rPr>
        <w:t xml:space="preserve"> users.</w:t>
      </w:r>
    </w:p>
    <w:p w:rsidR="00AE3B29" w:rsidRPr="00C13E12" w:rsidRDefault="00AE3B29" w:rsidP="00AE3B29">
      <w:pPr>
        <w:jc w:val="both"/>
        <w:rPr>
          <w:sz w:val="20"/>
          <w:szCs w:val="22"/>
        </w:rPr>
      </w:pPr>
    </w:p>
    <w:p w:rsidR="00AE3B29" w:rsidRDefault="00AE3B29" w:rsidP="00AE3B29">
      <w:pPr>
        <w:jc w:val="both"/>
        <w:rPr>
          <w:sz w:val="20"/>
          <w:szCs w:val="22"/>
        </w:rPr>
      </w:pPr>
      <w:r w:rsidRPr="00C13E12">
        <w:rPr>
          <w:sz w:val="20"/>
          <w:szCs w:val="22"/>
        </w:rPr>
        <w:t xml:space="preserve">The most general parameterization of mixed </w:t>
      </w:r>
      <w:proofErr w:type="spellStart"/>
      <w:r w:rsidRPr="00C13E12">
        <w:rPr>
          <w:sz w:val="20"/>
          <w:szCs w:val="22"/>
        </w:rPr>
        <w:t>logit</w:t>
      </w:r>
      <w:proofErr w:type="spellEnd"/>
      <w:r w:rsidRPr="00C13E12">
        <w:rPr>
          <w:sz w:val="20"/>
          <w:szCs w:val="22"/>
        </w:rPr>
        <w:t xml:space="preserve"> (from Greene and Hensher, 2010) is given by:</w:t>
      </w:r>
    </w:p>
    <w:p w:rsidR="00AE3B29" w:rsidRDefault="00AE3B29" w:rsidP="00AE3B29">
      <w:pPr>
        <w:jc w:val="both"/>
        <w:rPr>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AE3B29" w:rsidTr="00EE4B1A">
        <w:tc>
          <w:tcPr>
            <w:tcW w:w="3708" w:type="dxa"/>
            <w:vAlign w:val="center"/>
          </w:tcPr>
          <w:p w:rsidR="00AE3B29" w:rsidRPr="00A613CA" w:rsidRDefault="00EF5686" w:rsidP="00EE4B1A">
            <w:pPr>
              <w:jc w:val="both"/>
              <w:rPr>
                <w:sz w:val="20"/>
                <w:szCs w:val="22"/>
              </w:rPr>
            </w:pPr>
            <m:oMathPara>
              <m:oMathParaPr>
                <m:jc m:val="left"/>
              </m:oMathParaPr>
              <m:oMath>
                <m:sSub>
                  <m:sSubPr>
                    <m:ctrlPr>
                      <w:rPr>
                        <w:rFonts w:ascii="Cambria Math" w:hAnsi="Cambria Math"/>
                        <w:i/>
                        <w:sz w:val="20"/>
                        <w:szCs w:val="22"/>
                      </w:rPr>
                    </m:ctrlPr>
                  </m:sSubPr>
                  <m:e>
                    <m:r>
                      <w:rPr>
                        <w:rFonts w:ascii="Cambria Math" w:hAnsi="Cambria Math"/>
                        <w:sz w:val="20"/>
                        <w:szCs w:val="22"/>
                      </w:rPr>
                      <m:t>P</m:t>
                    </m:r>
                  </m:e>
                  <m:sub>
                    <m:r>
                      <w:rPr>
                        <w:rFonts w:ascii="Cambria Math" w:hAnsi="Cambria Math"/>
                        <w:sz w:val="20"/>
                        <w:szCs w:val="22"/>
                      </w:rPr>
                      <m:t>i,j,t</m:t>
                    </m:r>
                  </m:sub>
                </m:sSub>
                <m:r>
                  <w:rPr>
                    <w:rFonts w:ascii="Cambria Math" w:hAnsi="Cambria Math"/>
                    <w:sz w:val="20"/>
                    <w:szCs w:val="22"/>
                  </w:rPr>
                  <m:t>=</m:t>
                </m:r>
                <m:f>
                  <m:fPr>
                    <m:ctrlPr>
                      <w:rPr>
                        <w:rFonts w:ascii="Cambria Math" w:hAnsi="Cambria Math"/>
                        <w:i/>
                        <w:sz w:val="20"/>
                        <w:szCs w:val="22"/>
                      </w:rPr>
                    </m:ctrlPr>
                  </m:fPr>
                  <m:num>
                    <m:r>
                      <w:rPr>
                        <w:rFonts w:ascii="Cambria Math" w:hAnsi="Cambria Math"/>
                        <w:sz w:val="20"/>
                        <w:szCs w:val="22"/>
                      </w:rPr>
                      <m:t>exp</m:t>
                    </m:r>
                    <m:d>
                      <m:dPr>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V</m:t>
                            </m:r>
                          </m:e>
                          <m:sub>
                            <m:r>
                              <w:rPr>
                                <w:rFonts w:ascii="Cambria Math" w:hAnsi="Cambria Math"/>
                                <w:sz w:val="20"/>
                                <w:szCs w:val="22"/>
                              </w:rPr>
                              <m:t>itj</m:t>
                            </m:r>
                          </m:sub>
                        </m:sSub>
                      </m:e>
                    </m:d>
                  </m:num>
                  <m:den>
                    <m:nary>
                      <m:naryPr>
                        <m:chr m:val="∑"/>
                        <m:limLoc m:val="undOvr"/>
                        <m:ctrlPr>
                          <w:rPr>
                            <w:rFonts w:ascii="Cambria Math" w:hAnsi="Cambria Math"/>
                            <w:i/>
                            <w:sz w:val="20"/>
                            <w:szCs w:val="22"/>
                          </w:rPr>
                        </m:ctrlPr>
                      </m:naryPr>
                      <m:sub>
                        <m:r>
                          <w:rPr>
                            <w:rFonts w:ascii="Cambria Math" w:hAnsi="Cambria Math"/>
                            <w:sz w:val="20"/>
                            <w:szCs w:val="22"/>
                          </w:rPr>
                          <m:t>j=1</m:t>
                        </m:r>
                      </m:sub>
                      <m:sup>
                        <m:r>
                          <w:rPr>
                            <w:rFonts w:ascii="Cambria Math" w:hAnsi="Cambria Math"/>
                            <w:sz w:val="20"/>
                            <w:szCs w:val="22"/>
                          </w:rPr>
                          <m:t>J</m:t>
                        </m:r>
                      </m:sup>
                      <m:e>
                        <m:r>
                          <w:rPr>
                            <w:rFonts w:ascii="Cambria Math" w:hAnsi="Cambria Math"/>
                            <w:sz w:val="20"/>
                            <w:szCs w:val="22"/>
                          </w:rPr>
                          <m:t>exp</m:t>
                        </m:r>
                        <m:d>
                          <m:dPr>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V</m:t>
                                </m:r>
                              </m:e>
                              <m:sub>
                                <m:r>
                                  <w:rPr>
                                    <w:rFonts w:ascii="Cambria Math" w:hAnsi="Cambria Math"/>
                                    <w:sz w:val="20"/>
                                    <w:szCs w:val="22"/>
                                  </w:rPr>
                                  <m:t>itj</m:t>
                                </m:r>
                              </m:sub>
                            </m:sSub>
                          </m:e>
                        </m:d>
                      </m:e>
                    </m:nary>
                  </m:den>
                </m:f>
              </m:oMath>
            </m:oMathPara>
          </w:p>
          <w:p w:rsidR="00AE3B29" w:rsidRPr="00A613CA" w:rsidRDefault="00EF5686" w:rsidP="00EE4B1A">
            <w:pPr>
              <w:jc w:val="both"/>
              <w:rPr>
                <w:sz w:val="20"/>
                <w:szCs w:val="22"/>
              </w:rPr>
            </w:pPr>
            <m:oMathPara>
              <m:oMathParaPr>
                <m:jc m:val="left"/>
              </m:oMathParaPr>
              <m:oMath>
                <m:sSub>
                  <m:sSubPr>
                    <m:ctrlPr>
                      <w:rPr>
                        <w:rFonts w:ascii="Cambria Math" w:hAnsi="Cambria Math"/>
                        <w:i/>
                        <w:sz w:val="20"/>
                        <w:szCs w:val="22"/>
                      </w:rPr>
                    </m:ctrlPr>
                  </m:sSubPr>
                  <m:e>
                    <m:r>
                      <w:rPr>
                        <w:rFonts w:ascii="Cambria Math" w:hAnsi="Cambria Math"/>
                        <w:sz w:val="20"/>
                        <w:szCs w:val="22"/>
                      </w:rPr>
                      <m:t>V</m:t>
                    </m:r>
                  </m:e>
                  <m:sub>
                    <m:r>
                      <w:rPr>
                        <w:rFonts w:ascii="Cambria Math" w:hAnsi="Cambria Math"/>
                        <w:sz w:val="20"/>
                        <w:szCs w:val="22"/>
                      </w:rPr>
                      <m:t>itj</m:t>
                    </m:r>
                  </m:sub>
                </m:sSub>
                <m:r>
                  <w:rPr>
                    <w:rFonts w:ascii="Cambria Math" w:hAnsi="Cambria Math"/>
                    <w:sz w:val="20"/>
                    <w:szCs w:val="22"/>
                  </w:rPr>
                  <m:t>=</m:t>
                </m:r>
                <m:sSub>
                  <m:sSubPr>
                    <m:ctrlPr>
                      <w:rPr>
                        <w:rFonts w:ascii="Cambria Math" w:hAnsi="Cambria Math"/>
                        <w:i/>
                        <w:sz w:val="20"/>
                        <w:szCs w:val="22"/>
                      </w:rPr>
                    </m:ctrlPr>
                  </m:sSubPr>
                  <m:e>
                    <m:sSup>
                      <m:sSupPr>
                        <m:ctrlPr>
                          <w:rPr>
                            <w:rFonts w:ascii="Cambria Math" w:hAnsi="Cambria Math"/>
                            <w:i/>
                            <w:sz w:val="20"/>
                            <w:szCs w:val="22"/>
                          </w:rPr>
                        </m:ctrlPr>
                      </m:sSupPr>
                      <m:e>
                        <m:r>
                          <m:rPr>
                            <m:sty m:val="bi"/>
                          </m:rPr>
                          <w:rPr>
                            <w:rFonts w:ascii="Cambria Math" w:hAnsi="Cambria Math"/>
                            <w:sz w:val="20"/>
                            <w:szCs w:val="22"/>
                          </w:rPr>
                          <m:t>β</m:t>
                        </m:r>
                        <m:ctrlPr>
                          <w:rPr>
                            <w:rFonts w:ascii="Cambria Math" w:hAnsi="Cambria Math"/>
                            <w:b/>
                            <w:i/>
                            <w:sz w:val="20"/>
                            <w:szCs w:val="22"/>
                          </w:rPr>
                        </m:ctrlPr>
                      </m:e>
                      <m:sup>
                        <m:r>
                          <w:rPr>
                            <w:rFonts w:ascii="Cambria Math" w:hAnsi="Cambria Math"/>
                            <w:sz w:val="20"/>
                            <w:szCs w:val="22"/>
                          </w:rPr>
                          <m:t>'</m:t>
                        </m:r>
                      </m:sup>
                    </m:sSup>
                  </m:e>
                  <m:sub>
                    <m:r>
                      <w:rPr>
                        <w:rFonts w:ascii="Cambria Math" w:hAnsi="Cambria Math"/>
                        <w:sz w:val="20"/>
                        <w:szCs w:val="22"/>
                      </w:rPr>
                      <m:t>i</m:t>
                    </m:r>
                  </m:sub>
                </m:sSub>
                <m:sSub>
                  <m:sSubPr>
                    <m:ctrlPr>
                      <w:rPr>
                        <w:rFonts w:ascii="Cambria Math" w:hAnsi="Cambria Math"/>
                        <w:i/>
                        <w:sz w:val="20"/>
                        <w:szCs w:val="22"/>
                      </w:rPr>
                    </m:ctrlPr>
                  </m:sSubPr>
                  <m:e>
                    <m:r>
                      <m:rPr>
                        <m:sty m:val="bi"/>
                      </m:rPr>
                      <w:rPr>
                        <w:rFonts w:ascii="Cambria Math" w:hAnsi="Cambria Math"/>
                        <w:sz w:val="20"/>
                        <w:szCs w:val="22"/>
                      </w:rPr>
                      <m:t>x</m:t>
                    </m:r>
                  </m:e>
                  <m:sub>
                    <m:r>
                      <m:rPr>
                        <m:sty m:val="bi"/>
                      </m:rPr>
                      <w:rPr>
                        <w:rFonts w:ascii="Cambria Math" w:hAnsi="Cambria Math"/>
                        <w:sz w:val="20"/>
                        <w:szCs w:val="22"/>
                      </w:rPr>
                      <m:t>itj</m:t>
                    </m:r>
                  </m:sub>
                </m:sSub>
              </m:oMath>
            </m:oMathPara>
          </w:p>
          <w:p w:rsidR="00AE3B29" w:rsidRPr="00A613CA" w:rsidRDefault="00EF5686" w:rsidP="00EE4B1A">
            <w:pPr>
              <w:jc w:val="both"/>
              <w:rPr>
                <w:b/>
                <w:sz w:val="20"/>
                <w:szCs w:val="22"/>
              </w:rPr>
            </w:pPr>
            <m:oMathPara>
              <m:oMathParaPr>
                <m:jc m:val="left"/>
              </m:oMathParaPr>
              <m:oMath>
                <m:sSub>
                  <m:sSubPr>
                    <m:ctrlPr>
                      <w:rPr>
                        <w:rFonts w:ascii="Cambria Math" w:hAnsi="Cambria Math"/>
                        <w:i/>
                        <w:sz w:val="20"/>
                        <w:szCs w:val="22"/>
                      </w:rPr>
                    </m:ctrlPr>
                  </m:sSubPr>
                  <m:e>
                    <m:r>
                      <m:rPr>
                        <m:sty m:val="bi"/>
                      </m:rPr>
                      <w:rPr>
                        <w:rFonts w:ascii="Cambria Math" w:hAnsi="Cambria Math"/>
                        <w:sz w:val="20"/>
                        <w:szCs w:val="22"/>
                      </w:rPr>
                      <m:t>β</m:t>
                    </m:r>
                  </m:e>
                  <m:sub>
                    <m:r>
                      <w:rPr>
                        <w:rFonts w:ascii="Cambria Math" w:hAnsi="Cambria Math"/>
                        <w:sz w:val="20"/>
                        <w:szCs w:val="22"/>
                      </w:rPr>
                      <m:t>i</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σ</m:t>
                    </m:r>
                  </m:e>
                  <m:sub>
                    <m:r>
                      <w:rPr>
                        <w:rFonts w:ascii="Cambria Math" w:hAnsi="Cambria Math"/>
                        <w:sz w:val="20"/>
                        <w:szCs w:val="22"/>
                      </w:rPr>
                      <m:t>i</m:t>
                    </m:r>
                  </m:sub>
                </m:sSub>
                <m:d>
                  <m:dPr>
                    <m:begChr m:val="["/>
                    <m:endChr m:val="]"/>
                    <m:ctrlPr>
                      <w:rPr>
                        <w:rFonts w:ascii="Cambria Math" w:hAnsi="Cambria Math"/>
                        <w:i/>
                        <w:sz w:val="20"/>
                        <w:szCs w:val="22"/>
                      </w:rPr>
                    </m:ctrlPr>
                  </m:dPr>
                  <m:e>
                    <m:r>
                      <m:rPr>
                        <m:sty m:val="bi"/>
                      </m:rPr>
                      <w:rPr>
                        <w:rFonts w:ascii="Cambria Math" w:hAnsi="Cambria Math"/>
                        <w:sz w:val="20"/>
                        <w:szCs w:val="22"/>
                      </w:rPr>
                      <m:t>β</m:t>
                    </m:r>
                    <m:r>
                      <w:rPr>
                        <w:rFonts w:ascii="Cambria Math" w:hAnsi="Cambria Math"/>
                        <w:sz w:val="20"/>
                        <w:szCs w:val="22"/>
                      </w:rPr>
                      <m:t>+</m:t>
                    </m:r>
                    <m:r>
                      <m:rPr>
                        <m:sty m:val="bi"/>
                      </m:rPr>
                      <w:rPr>
                        <w:rFonts w:ascii="Cambria Math" w:hAnsi="Cambria Math"/>
                        <w:sz w:val="20"/>
                        <w:szCs w:val="22"/>
                      </w:rPr>
                      <m:t>∆</m:t>
                    </m:r>
                    <m:sSub>
                      <m:sSubPr>
                        <m:ctrlPr>
                          <w:rPr>
                            <w:rFonts w:ascii="Cambria Math" w:hAnsi="Cambria Math"/>
                            <w:b/>
                            <w:i/>
                            <w:sz w:val="20"/>
                            <w:szCs w:val="22"/>
                          </w:rPr>
                        </m:ctrlPr>
                      </m:sSubPr>
                      <m:e>
                        <m:r>
                          <m:rPr>
                            <m:sty m:val="bi"/>
                          </m:rPr>
                          <w:rPr>
                            <w:rFonts w:ascii="Cambria Math" w:hAnsi="Cambria Math"/>
                            <w:sz w:val="20"/>
                            <w:szCs w:val="22"/>
                          </w:rPr>
                          <m:t>z</m:t>
                        </m:r>
                      </m:e>
                      <m:sub>
                        <m:r>
                          <m:rPr>
                            <m:sty m:val="bi"/>
                          </m:rPr>
                          <w:rPr>
                            <w:rFonts w:ascii="Cambria Math" w:hAnsi="Cambria Math"/>
                            <w:sz w:val="20"/>
                            <w:szCs w:val="22"/>
                          </w:rPr>
                          <m:t>i</m:t>
                        </m:r>
                      </m:sub>
                    </m:sSub>
                  </m:e>
                </m:d>
                <m:r>
                  <w:rPr>
                    <w:rFonts w:ascii="Cambria Math" w:hAnsi="Cambria Math"/>
                    <w:sz w:val="20"/>
                    <w:szCs w:val="22"/>
                  </w:rPr>
                  <m:t>+</m:t>
                </m:r>
                <m:d>
                  <m:dPr>
                    <m:begChr m:val="["/>
                    <m:endChr m:val="]"/>
                    <m:ctrlPr>
                      <w:rPr>
                        <w:rFonts w:ascii="Cambria Math" w:hAnsi="Cambria Math"/>
                        <w:i/>
                        <w:sz w:val="20"/>
                        <w:szCs w:val="22"/>
                      </w:rPr>
                    </m:ctrlPr>
                  </m:dPr>
                  <m:e>
                    <m:r>
                      <w:rPr>
                        <w:rFonts w:ascii="Cambria Math" w:hAnsi="Cambria Math"/>
                        <w:sz w:val="20"/>
                        <w:szCs w:val="22"/>
                      </w:rPr>
                      <m:t>γ+</m:t>
                    </m:r>
                    <m:sSub>
                      <m:sSubPr>
                        <m:ctrlPr>
                          <w:rPr>
                            <w:rFonts w:ascii="Cambria Math" w:hAnsi="Cambria Math"/>
                            <w:i/>
                            <w:sz w:val="20"/>
                            <w:szCs w:val="22"/>
                          </w:rPr>
                        </m:ctrlPr>
                      </m:sSubPr>
                      <m:e>
                        <m:r>
                          <w:rPr>
                            <w:rFonts w:ascii="Cambria Math" w:hAnsi="Cambria Math"/>
                            <w:sz w:val="20"/>
                            <w:szCs w:val="22"/>
                          </w:rPr>
                          <m:t>σ</m:t>
                        </m:r>
                      </m:e>
                      <m:sub>
                        <m:r>
                          <w:rPr>
                            <w:rFonts w:ascii="Cambria Math" w:hAnsi="Cambria Math"/>
                            <w:sz w:val="20"/>
                            <w:szCs w:val="22"/>
                          </w:rPr>
                          <m:t>i</m:t>
                        </m:r>
                      </m:sub>
                    </m:sSub>
                    <m:d>
                      <m:dPr>
                        <m:ctrlPr>
                          <w:rPr>
                            <w:rFonts w:ascii="Cambria Math" w:hAnsi="Cambria Math"/>
                            <w:i/>
                            <w:sz w:val="20"/>
                            <w:szCs w:val="22"/>
                          </w:rPr>
                        </m:ctrlPr>
                      </m:dPr>
                      <m:e>
                        <m:r>
                          <w:rPr>
                            <w:rFonts w:ascii="Cambria Math" w:hAnsi="Cambria Math"/>
                            <w:sz w:val="20"/>
                            <w:szCs w:val="22"/>
                          </w:rPr>
                          <m:t>1-γ</m:t>
                        </m:r>
                      </m:e>
                    </m:d>
                  </m:e>
                </m:d>
                <m:r>
                  <m:rPr>
                    <m:sty m:val="bi"/>
                  </m:rPr>
                  <w:rPr>
                    <w:rFonts w:ascii="Cambria Math" w:hAnsi="Cambria Math"/>
                    <w:sz w:val="20"/>
                    <w:szCs w:val="22"/>
                  </w:rPr>
                  <m:t>Γ</m:t>
                </m:r>
                <m:sSub>
                  <m:sSubPr>
                    <m:ctrlPr>
                      <w:rPr>
                        <w:rFonts w:ascii="Cambria Math" w:hAnsi="Cambria Math"/>
                        <w:b/>
                        <w:i/>
                        <w:sz w:val="20"/>
                        <w:szCs w:val="22"/>
                      </w:rPr>
                    </m:ctrlPr>
                  </m:sSubPr>
                  <m:e>
                    <m:r>
                      <m:rPr>
                        <m:sty m:val="bi"/>
                      </m:rPr>
                      <w:rPr>
                        <w:rFonts w:ascii="Cambria Math" w:hAnsi="Cambria Math"/>
                        <w:sz w:val="20"/>
                        <w:szCs w:val="22"/>
                      </w:rPr>
                      <m:t>v</m:t>
                    </m:r>
                  </m:e>
                  <m:sub>
                    <m:r>
                      <m:rPr>
                        <m:sty m:val="bi"/>
                      </m:rPr>
                      <w:rPr>
                        <w:rFonts w:ascii="Cambria Math" w:hAnsi="Cambria Math"/>
                        <w:sz w:val="20"/>
                        <w:szCs w:val="22"/>
                      </w:rPr>
                      <m:t>i</m:t>
                    </m:r>
                  </m:sub>
                </m:sSub>
              </m:oMath>
            </m:oMathPara>
          </w:p>
          <w:p w:rsidR="00AE3B29" w:rsidRPr="00A613CA" w:rsidRDefault="00EF5686" w:rsidP="00EE4B1A">
            <w:pPr>
              <w:jc w:val="both"/>
              <w:rPr>
                <w:sz w:val="20"/>
                <w:szCs w:val="22"/>
              </w:rPr>
            </w:pPr>
            <m:oMathPara>
              <m:oMathParaPr>
                <m:jc m:val="left"/>
              </m:oMathParaPr>
              <m:oMath>
                <m:sSub>
                  <m:sSubPr>
                    <m:ctrlPr>
                      <w:rPr>
                        <w:rFonts w:ascii="Cambria Math" w:hAnsi="Cambria Math"/>
                        <w:i/>
                        <w:sz w:val="20"/>
                        <w:szCs w:val="22"/>
                      </w:rPr>
                    </m:ctrlPr>
                  </m:sSubPr>
                  <m:e>
                    <m:r>
                      <w:rPr>
                        <w:rFonts w:ascii="Cambria Math" w:hAnsi="Cambria Math"/>
                        <w:sz w:val="20"/>
                        <w:szCs w:val="22"/>
                      </w:rPr>
                      <m:t>σ</m:t>
                    </m:r>
                  </m:e>
                  <m:sub>
                    <m:r>
                      <w:rPr>
                        <w:rFonts w:ascii="Cambria Math" w:hAnsi="Cambria Math"/>
                        <w:sz w:val="20"/>
                        <w:szCs w:val="22"/>
                      </w:rPr>
                      <m:t>i</m:t>
                    </m:r>
                  </m:sub>
                </m:sSub>
                <m:r>
                  <w:rPr>
                    <w:rFonts w:ascii="Cambria Math" w:hAnsi="Cambria Math"/>
                    <w:sz w:val="20"/>
                    <w:szCs w:val="22"/>
                  </w:rPr>
                  <m:t>=exp</m:t>
                </m:r>
                <m:d>
                  <m:dPr>
                    <m:begChr m:val="["/>
                    <m:endChr m:val="]"/>
                    <m:ctrlPr>
                      <w:rPr>
                        <w:rFonts w:ascii="Cambria Math" w:hAnsi="Cambria Math"/>
                        <w:i/>
                        <w:sz w:val="20"/>
                        <w:szCs w:val="22"/>
                      </w:rPr>
                    </m:ctrlPr>
                  </m:dPr>
                  <m:e>
                    <m:acc>
                      <m:accPr>
                        <m:chr m:val="̅"/>
                        <m:ctrlPr>
                          <w:rPr>
                            <w:rFonts w:ascii="Cambria Math" w:hAnsi="Cambria Math"/>
                            <w:i/>
                            <w:sz w:val="20"/>
                            <w:szCs w:val="22"/>
                          </w:rPr>
                        </m:ctrlPr>
                      </m:accPr>
                      <m:e>
                        <m:r>
                          <w:rPr>
                            <w:rFonts w:ascii="Cambria Math" w:hAnsi="Cambria Math"/>
                            <w:sz w:val="20"/>
                            <w:szCs w:val="22"/>
                          </w:rPr>
                          <m:t>σ</m:t>
                        </m:r>
                      </m:e>
                    </m:acc>
                    <m:r>
                      <w:rPr>
                        <w:rFonts w:ascii="Cambria Math" w:hAnsi="Cambria Math"/>
                        <w:sz w:val="20"/>
                        <w:szCs w:val="22"/>
                      </w:rPr>
                      <m:t>+</m:t>
                    </m:r>
                    <m:sSup>
                      <m:sSupPr>
                        <m:ctrlPr>
                          <w:rPr>
                            <w:rFonts w:ascii="Cambria Math" w:hAnsi="Cambria Math"/>
                            <w:b/>
                            <w:i/>
                            <w:sz w:val="20"/>
                            <w:szCs w:val="22"/>
                          </w:rPr>
                        </m:ctrlPr>
                      </m:sSupPr>
                      <m:e>
                        <m:r>
                          <m:rPr>
                            <m:sty m:val="bi"/>
                          </m:rPr>
                          <w:rPr>
                            <w:rFonts w:ascii="Cambria Math" w:hAnsi="Cambria Math"/>
                            <w:sz w:val="20"/>
                            <w:szCs w:val="22"/>
                          </w:rPr>
                          <m:t>δ</m:t>
                        </m:r>
                      </m:e>
                      <m:sup>
                        <m:r>
                          <m:rPr>
                            <m:sty m:val="bi"/>
                          </m:rPr>
                          <w:rPr>
                            <w:rFonts w:ascii="Cambria Math" w:hAnsi="Cambria Math"/>
                            <w:sz w:val="20"/>
                            <w:szCs w:val="22"/>
                          </w:rPr>
                          <m:t>'</m:t>
                        </m:r>
                      </m:sup>
                    </m:sSup>
                    <m:sSub>
                      <m:sSubPr>
                        <m:ctrlPr>
                          <w:rPr>
                            <w:rFonts w:ascii="Cambria Math" w:hAnsi="Cambria Math"/>
                            <w:b/>
                            <w:i/>
                            <w:sz w:val="20"/>
                            <w:szCs w:val="22"/>
                          </w:rPr>
                        </m:ctrlPr>
                      </m:sSubPr>
                      <m:e>
                        <m:r>
                          <m:rPr>
                            <m:sty m:val="bi"/>
                          </m:rPr>
                          <w:rPr>
                            <w:rFonts w:ascii="Cambria Math" w:hAnsi="Cambria Math"/>
                            <w:sz w:val="20"/>
                            <w:szCs w:val="22"/>
                          </w:rPr>
                          <m:t>h</m:t>
                        </m:r>
                      </m:e>
                      <m:sub>
                        <m:r>
                          <m:rPr>
                            <m:sty m:val="bi"/>
                          </m:rPr>
                          <w:rPr>
                            <w:rFonts w:ascii="Cambria Math" w:hAnsi="Cambria Math"/>
                            <w:sz w:val="20"/>
                            <w:szCs w:val="22"/>
                          </w:rPr>
                          <m:t>i</m:t>
                        </m:r>
                      </m:sub>
                    </m:sSub>
                    <m:r>
                      <w:rPr>
                        <w:rFonts w:ascii="Cambria Math" w:hAnsi="Cambria Math"/>
                        <w:sz w:val="20"/>
                        <w:szCs w:val="22"/>
                      </w:rPr>
                      <m:t>+τ</m:t>
                    </m:r>
                    <m:sSub>
                      <m:sSubPr>
                        <m:ctrlPr>
                          <w:rPr>
                            <w:rFonts w:ascii="Cambria Math" w:hAnsi="Cambria Math"/>
                            <w:i/>
                            <w:sz w:val="20"/>
                            <w:szCs w:val="22"/>
                          </w:rPr>
                        </m:ctrlPr>
                      </m:sSubPr>
                      <m:e>
                        <m:r>
                          <w:rPr>
                            <w:rFonts w:ascii="Cambria Math" w:hAnsi="Cambria Math"/>
                            <w:sz w:val="20"/>
                            <w:szCs w:val="22"/>
                          </w:rPr>
                          <m:t>w</m:t>
                        </m:r>
                      </m:e>
                      <m:sub>
                        <m:r>
                          <w:rPr>
                            <w:rFonts w:ascii="Cambria Math" w:hAnsi="Cambria Math"/>
                            <w:sz w:val="20"/>
                            <w:szCs w:val="22"/>
                          </w:rPr>
                          <m:t>i</m:t>
                        </m:r>
                      </m:sub>
                    </m:sSub>
                  </m:e>
                </m:d>
              </m:oMath>
            </m:oMathPara>
          </w:p>
        </w:tc>
        <w:tc>
          <w:tcPr>
            <w:tcW w:w="3708" w:type="dxa"/>
            <w:vAlign w:val="center"/>
          </w:tcPr>
          <w:p w:rsidR="00AE3B29" w:rsidRDefault="00AE3B29" w:rsidP="00EE4B1A">
            <w:pPr>
              <w:jc w:val="both"/>
              <w:rPr>
                <w:sz w:val="20"/>
                <w:szCs w:val="22"/>
              </w:rPr>
            </w:pPr>
            <w:r>
              <w:rPr>
                <w:sz w:val="20"/>
                <w:szCs w:val="22"/>
              </w:rPr>
              <w:t>(1)</w:t>
            </w:r>
          </w:p>
        </w:tc>
      </w:tr>
    </w:tbl>
    <w:p w:rsidR="00AE3B29" w:rsidRPr="00C13E12" w:rsidRDefault="00AE3B29" w:rsidP="00AE3B29">
      <w:pPr>
        <w:jc w:val="both"/>
        <w:rPr>
          <w:sz w:val="20"/>
          <w:szCs w:val="22"/>
        </w:rPr>
      </w:pPr>
    </w:p>
    <w:p w:rsidR="00AE3B29" w:rsidRPr="00C13E12" w:rsidRDefault="00AE3B29" w:rsidP="00AE3B29">
      <w:pPr>
        <w:jc w:val="both"/>
        <w:rPr>
          <w:sz w:val="20"/>
          <w:szCs w:val="22"/>
        </w:rPr>
      </w:pPr>
      <w:r w:rsidRPr="00C13E12">
        <w:rPr>
          <w:sz w:val="20"/>
          <w:szCs w:val="22"/>
        </w:rPr>
        <w:t>Note that the “</w:t>
      </w:r>
      <w:proofErr w:type="spellStart"/>
      <w:r w:rsidRPr="00C13E12">
        <w:rPr>
          <w:sz w:val="20"/>
          <w:szCs w:val="22"/>
        </w:rPr>
        <w:t>hyperparameters</w:t>
      </w:r>
      <w:proofErr w:type="spellEnd"/>
      <w:r w:rsidRPr="00C13E12">
        <w:rPr>
          <w:sz w:val="20"/>
          <w:szCs w:val="22"/>
        </w:rPr>
        <w:t>” to be estimated are</w:t>
      </w:r>
      <w:proofErr w:type="gramStart"/>
      <w:r w:rsidRPr="00C13E12">
        <w:rPr>
          <w:sz w:val="20"/>
          <w:szCs w:val="22"/>
        </w:rPr>
        <w:t>:</w:t>
      </w:r>
      <w:r>
        <w:rPr>
          <w:sz w:val="20"/>
          <w:szCs w:val="22"/>
        </w:rPr>
        <w:t xml:space="preserve"> </w:t>
      </w:r>
      <m:oMath>
        <w:proofErr w:type="gramEnd"/>
        <m:r>
          <m:rPr>
            <m:sty m:val="bi"/>
          </m:rPr>
          <w:rPr>
            <w:rFonts w:ascii="Cambria Math" w:hAnsi="Cambria Math"/>
            <w:sz w:val="20"/>
            <w:szCs w:val="22"/>
          </w:rPr>
          <m:t>β</m:t>
        </m:r>
        <m:r>
          <w:rPr>
            <w:rFonts w:ascii="Cambria Math" w:hAnsi="Cambria Math"/>
            <w:sz w:val="20"/>
            <w:szCs w:val="22"/>
          </w:rPr>
          <m:t xml:space="preserve">, </m:t>
        </m:r>
        <m:r>
          <m:rPr>
            <m:sty m:val="bi"/>
          </m:rPr>
          <w:rPr>
            <w:rFonts w:ascii="Cambria Math" w:hAnsi="Cambria Math"/>
            <w:sz w:val="20"/>
            <w:szCs w:val="22"/>
          </w:rPr>
          <m:t>∆</m:t>
        </m:r>
        <m:r>
          <w:rPr>
            <w:rFonts w:ascii="Cambria Math" w:hAnsi="Cambria Math"/>
            <w:sz w:val="20"/>
            <w:szCs w:val="22"/>
          </w:rPr>
          <m:t xml:space="preserve">, γ, </m:t>
        </m:r>
        <m:r>
          <m:rPr>
            <m:sty m:val="bi"/>
          </m:rPr>
          <w:rPr>
            <w:rFonts w:ascii="Cambria Math" w:hAnsi="Cambria Math"/>
            <w:sz w:val="20"/>
            <w:szCs w:val="22"/>
          </w:rPr>
          <m:t>Γ</m:t>
        </m:r>
        <m:r>
          <w:rPr>
            <w:rFonts w:ascii="Cambria Math" w:hAnsi="Cambria Math"/>
            <w:sz w:val="20"/>
            <w:szCs w:val="22"/>
          </w:rPr>
          <m:t xml:space="preserve">, </m:t>
        </m:r>
        <m:acc>
          <m:accPr>
            <m:chr m:val="̅"/>
            <m:ctrlPr>
              <w:rPr>
                <w:rFonts w:ascii="Cambria Math" w:hAnsi="Cambria Math"/>
                <w:i/>
                <w:sz w:val="20"/>
                <w:szCs w:val="22"/>
              </w:rPr>
            </m:ctrlPr>
          </m:accPr>
          <m:e>
            <m:r>
              <w:rPr>
                <w:rFonts w:ascii="Cambria Math" w:hAnsi="Cambria Math"/>
                <w:sz w:val="20"/>
                <w:szCs w:val="22"/>
              </w:rPr>
              <m:t>σ</m:t>
            </m:r>
          </m:e>
        </m:acc>
        <m:r>
          <w:rPr>
            <w:rFonts w:ascii="Cambria Math" w:hAnsi="Cambria Math"/>
            <w:sz w:val="20"/>
            <w:szCs w:val="22"/>
          </w:rPr>
          <m:t xml:space="preserve">, </m:t>
        </m:r>
        <m:r>
          <m:rPr>
            <m:sty m:val="bi"/>
          </m:rPr>
          <w:rPr>
            <w:rFonts w:ascii="Cambria Math" w:hAnsi="Cambria Math"/>
            <w:sz w:val="20"/>
            <w:szCs w:val="22"/>
          </w:rPr>
          <m:t>δ</m:t>
        </m:r>
        <m:r>
          <w:rPr>
            <w:rFonts w:ascii="Cambria Math" w:hAnsi="Cambria Math"/>
            <w:sz w:val="20"/>
            <w:szCs w:val="22"/>
          </w:rPr>
          <m:t xml:space="preserve">, τ </m:t>
        </m:r>
      </m:oMath>
      <w:r>
        <w:rPr>
          <w:sz w:val="20"/>
          <w:szCs w:val="22"/>
        </w:rPr>
        <w:t xml:space="preserve">. </w:t>
      </w:r>
      <w:proofErr w:type="gramStart"/>
      <w:r>
        <w:rPr>
          <w:sz w:val="20"/>
          <w:szCs w:val="22"/>
        </w:rPr>
        <w:t>γ</w:t>
      </w:r>
      <w:proofErr w:type="gramEnd"/>
      <w:r w:rsidRPr="00C13E12">
        <w:rPr>
          <w:sz w:val="20"/>
          <w:szCs w:val="22"/>
        </w:rPr>
        <w:t xml:space="preserve"> controls the relative importance of scale heterogeneity, and</w:t>
      </w:r>
      <w:r>
        <w:rPr>
          <w:sz w:val="20"/>
          <w:szCs w:val="22"/>
        </w:rPr>
        <w:t xml:space="preserve"> </w:t>
      </w:r>
      <w:r w:rsidRPr="006612AE">
        <w:rPr>
          <w:b/>
          <w:sz w:val="20"/>
          <w:szCs w:val="22"/>
        </w:rPr>
        <w:t>δ</w:t>
      </w:r>
      <w:r>
        <w:rPr>
          <w:sz w:val="20"/>
          <w:szCs w:val="22"/>
        </w:rPr>
        <w:t>=τ=0</w:t>
      </w:r>
      <w:r w:rsidRPr="00C13E12">
        <w:rPr>
          <w:sz w:val="20"/>
          <w:szCs w:val="22"/>
        </w:rPr>
        <w:t xml:space="preserve"> implies the standard random parameters form of the mixed </w:t>
      </w:r>
      <w:proofErr w:type="spellStart"/>
      <w:r w:rsidRPr="00C13E12">
        <w:rPr>
          <w:sz w:val="20"/>
          <w:szCs w:val="22"/>
        </w:rPr>
        <w:t>logit</w:t>
      </w:r>
      <w:proofErr w:type="spellEnd"/>
      <w:r w:rsidRPr="00C13E12">
        <w:rPr>
          <w:sz w:val="20"/>
          <w:szCs w:val="22"/>
        </w:rPr>
        <w:t xml:space="preserve"> model. If in addition </w:t>
      </w:r>
      <w:r w:rsidRPr="006612AE">
        <w:rPr>
          <w:b/>
          <w:sz w:val="20"/>
          <w:szCs w:val="22"/>
        </w:rPr>
        <w:t>Δ</w:t>
      </w:r>
      <w:r>
        <w:rPr>
          <w:sz w:val="20"/>
          <w:szCs w:val="22"/>
        </w:rPr>
        <w:t>=</w:t>
      </w:r>
      <w:r w:rsidRPr="006612AE">
        <w:rPr>
          <w:b/>
          <w:sz w:val="20"/>
          <w:szCs w:val="22"/>
        </w:rPr>
        <w:t>Γ</w:t>
      </w:r>
      <w:r>
        <w:rPr>
          <w:sz w:val="20"/>
          <w:szCs w:val="22"/>
        </w:rPr>
        <w:t>=0</w:t>
      </w:r>
      <w:r w:rsidRPr="00C13E12">
        <w:rPr>
          <w:sz w:val="20"/>
          <w:szCs w:val="22"/>
        </w:rPr>
        <w:t xml:space="preserve">, then the model collapses to the conditional multinomial </w:t>
      </w:r>
      <w:proofErr w:type="spellStart"/>
      <w:r w:rsidRPr="00C13E12">
        <w:rPr>
          <w:sz w:val="20"/>
          <w:szCs w:val="22"/>
        </w:rPr>
        <w:t>logit</w:t>
      </w:r>
      <w:proofErr w:type="spellEnd"/>
      <w:r w:rsidRPr="00C13E12">
        <w:rPr>
          <w:sz w:val="20"/>
          <w:szCs w:val="22"/>
        </w:rPr>
        <w:t xml:space="preserve"> model. Of course some restrictions are required to identify the general structure given above.</w:t>
      </w:r>
    </w:p>
    <w:p w:rsidR="00AE3B29" w:rsidRPr="00C13E12" w:rsidRDefault="00AE3B29" w:rsidP="00AE3B29">
      <w:pPr>
        <w:jc w:val="both"/>
        <w:rPr>
          <w:sz w:val="20"/>
          <w:szCs w:val="22"/>
        </w:rPr>
      </w:pPr>
    </w:p>
    <w:p w:rsidR="00AE3B29" w:rsidRPr="00C13E12" w:rsidRDefault="00AE3B29" w:rsidP="00AE3B29">
      <w:pPr>
        <w:jc w:val="both"/>
        <w:rPr>
          <w:sz w:val="20"/>
          <w:szCs w:val="22"/>
        </w:rPr>
      </w:pPr>
      <w:r w:rsidRPr="00C13E12">
        <w:rPr>
          <w:sz w:val="20"/>
          <w:szCs w:val="22"/>
        </w:rPr>
        <w:lastRenderedPageBreak/>
        <w:t xml:space="preserve">One fundamental problem is that mixed </w:t>
      </w:r>
      <w:proofErr w:type="spellStart"/>
      <w:r w:rsidRPr="00C13E12">
        <w:rPr>
          <w:sz w:val="20"/>
          <w:szCs w:val="22"/>
        </w:rPr>
        <w:t>logit</w:t>
      </w:r>
      <w:proofErr w:type="spellEnd"/>
      <w:r w:rsidRPr="00C13E12">
        <w:rPr>
          <w:sz w:val="20"/>
          <w:szCs w:val="22"/>
        </w:rPr>
        <w:t xml:space="preserve"> models are typically estimated by maximum simulated likelihood techniques, and the noise introduced by the simulations can mask identification problems and allow seemingly sensible estimates to be calculated from theoretically unidentified models and data.</w:t>
      </w:r>
      <w:r>
        <w:rPr>
          <w:sz w:val="20"/>
          <w:szCs w:val="22"/>
        </w:rPr>
        <w:t xml:space="preserve"> </w:t>
      </w:r>
      <w:proofErr w:type="spellStart"/>
      <w:r w:rsidRPr="00C13E12">
        <w:rPr>
          <w:sz w:val="20"/>
          <w:szCs w:val="22"/>
        </w:rPr>
        <w:t>Chiou</w:t>
      </w:r>
      <w:proofErr w:type="spellEnd"/>
      <w:r w:rsidRPr="00C13E12">
        <w:rPr>
          <w:sz w:val="20"/>
          <w:szCs w:val="22"/>
        </w:rPr>
        <w:t xml:space="preserve"> and Walker (2007) demonstrate this problem with small examples and some real data applications.</w:t>
      </w:r>
      <w:r>
        <w:rPr>
          <w:sz w:val="20"/>
          <w:szCs w:val="22"/>
        </w:rPr>
        <w:t xml:space="preserve"> </w:t>
      </w:r>
      <w:r w:rsidRPr="00C13E12">
        <w:rPr>
          <w:sz w:val="20"/>
          <w:szCs w:val="22"/>
        </w:rPr>
        <w:t xml:space="preserve">They conclude that it is critical to use far more than 200 simulation draws (using modified </w:t>
      </w:r>
      <w:proofErr w:type="spellStart"/>
      <w:r w:rsidRPr="00C13E12">
        <w:rPr>
          <w:sz w:val="20"/>
          <w:szCs w:val="22"/>
        </w:rPr>
        <w:t>Halton</w:t>
      </w:r>
      <w:proofErr w:type="spellEnd"/>
      <w:r w:rsidRPr="00C13E12">
        <w:rPr>
          <w:sz w:val="20"/>
          <w:szCs w:val="22"/>
        </w:rPr>
        <w:t xml:space="preserve"> sequences, or 2000 pseudo-random draws) to avoid this problem.</w:t>
      </w:r>
      <w:r>
        <w:rPr>
          <w:sz w:val="20"/>
          <w:szCs w:val="22"/>
        </w:rPr>
        <w:t xml:space="preserve"> </w:t>
      </w:r>
      <w:r w:rsidRPr="00C13E12">
        <w:rPr>
          <w:sz w:val="20"/>
          <w:szCs w:val="22"/>
        </w:rPr>
        <w:t>Of course their results only apply to the models they tested, and it is likely that thousands (or even tens of thousands) of draws may be necessary for more realistic large-scale models.</w:t>
      </w:r>
      <w:r>
        <w:rPr>
          <w:sz w:val="20"/>
          <w:szCs w:val="22"/>
        </w:rPr>
        <w:t xml:space="preserve"> </w:t>
      </w:r>
      <w:r w:rsidRPr="00C13E12">
        <w:rPr>
          <w:sz w:val="20"/>
          <w:szCs w:val="22"/>
        </w:rPr>
        <w:t>Increasing the number of simulation draws by an order of magnitude will of course increase computation time by a similar amount.</w:t>
      </w:r>
      <w:r>
        <w:rPr>
          <w:sz w:val="20"/>
          <w:szCs w:val="22"/>
        </w:rPr>
        <w:t xml:space="preserve"> </w:t>
      </w:r>
      <w:r w:rsidRPr="00C13E12">
        <w:rPr>
          <w:sz w:val="20"/>
          <w:szCs w:val="22"/>
        </w:rPr>
        <w:t xml:space="preserve">These results have been confirmed in a recent </w:t>
      </w:r>
      <w:smartTag w:uri="urn:schemas-microsoft-com:office:smarttags" w:element="place">
        <w:r w:rsidRPr="00C13E12">
          <w:rPr>
            <w:sz w:val="20"/>
            <w:szCs w:val="22"/>
          </w:rPr>
          <w:t>Monte Carlo</w:t>
        </w:r>
      </w:smartTag>
      <w:r w:rsidRPr="00C13E12">
        <w:rPr>
          <w:sz w:val="20"/>
          <w:szCs w:val="22"/>
        </w:rPr>
        <w:t xml:space="preserve"> study by Hess and Train (2011), and they provide </w:t>
      </w:r>
      <w:proofErr w:type="spellStart"/>
      <w:r w:rsidRPr="00C13E12">
        <w:rPr>
          <w:sz w:val="20"/>
          <w:szCs w:val="22"/>
        </w:rPr>
        <w:t>stron</w:t>
      </w:r>
      <w:proofErr w:type="spellEnd"/>
      <w:r w:rsidRPr="00C13E12">
        <w:rPr>
          <w:sz w:val="20"/>
          <w:szCs w:val="22"/>
        </w:rPr>
        <w:t xml:space="preserve"> justification for the Bayesian methods discussed in the next section of this paper.</w:t>
      </w:r>
    </w:p>
    <w:p w:rsidR="00AE3B29" w:rsidRPr="00C13E12" w:rsidRDefault="00AE3B29" w:rsidP="00AE3B29">
      <w:pPr>
        <w:jc w:val="both"/>
        <w:rPr>
          <w:sz w:val="20"/>
          <w:szCs w:val="22"/>
        </w:rPr>
      </w:pPr>
    </w:p>
    <w:p w:rsidR="00AE3B29" w:rsidRPr="00C13E12" w:rsidRDefault="00AE3B29" w:rsidP="00AE3B29">
      <w:pPr>
        <w:jc w:val="both"/>
        <w:rPr>
          <w:sz w:val="20"/>
          <w:szCs w:val="22"/>
        </w:rPr>
      </w:pPr>
      <w:r w:rsidRPr="00C13E12">
        <w:rPr>
          <w:sz w:val="20"/>
          <w:szCs w:val="22"/>
        </w:rPr>
        <w:t xml:space="preserve">Simulation noise also impacts inference in mixed </w:t>
      </w:r>
      <w:proofErr w:type="spellStart"/>
      <w:r w:rsidRPr="00C13E12">
        <w:rPr>
          <w:sz w:val="20"/>
          <w:szCs w:val="22"/>
        </w:rPr>
        <w:t>logit</w:t>
      </w:r>
      <w:proofErr w:type="spellEnd"/>
      <w:r w:rsidRPr="00C13E12">
        <w:rPr>
          <w:sz w:val="20"/>
          <w:szCs w:val="22"/>
        </w:rPr>
        <w:t xml:space="preserve"> and more general maximum simulated likelihood estimators.</w:t>
      </w:r>
      <w:r>
        <w:rPr>
          <w:sz w:val="20"/>
          <w:szCs w:val="22"/>
        </w:rPr>
        <w:t xml:space="preserve"> </w:t>
      </w:r>
      <w:r w:rsidRPr="00C13E12">
        <w:rPr>
          <w:sz w:val="20"/>
          <w:szCs w:val="22"/>
        </w:rPr>
        <w:t xml:space="preserve">While it has long been recognized (see </w:t>
      </w:r>
      <w:proofErr w:type="spellStart"/>
      <w:r w:rsidRPr="00C13E12">
        <w:rPr>
          <w:sz w:val="20"/>
          <w:szCs w:val="22"/>
        </w:rPr>
        <w:t>Revelt</w:t>
      </w:r>
      <w:proofErr w:type="spellEnd"/>
      <w:r w:rsidRPr="00C13E12">
        <w:rPr>
          <w:sz w:val="20"/>
          <w:szCs w:val="22"/>
        </w:rPr>
        <w:t xml:space="preserve"> and Train, 1998) that it is necessary to use the “sandwich estimator” instead of the simpler information matrix of the simulated likelihood function, the difficulty of computing the hessian of the simulated likelihood function has not been as widely appreciated.</w:t>
      </w:r>
      <w:r>
        <w:rPr>
          <w:sz w:val="20"/>
          <w:szCs w:val="22"/>
        </w:rPr>
        <w:t xml:space="preserve"> Bhat, </w:t>
      </w:r>
      <w:r w:rsidRPr="00CB1749">
        <w:rPr>
          <w:i/>
          <w:sz w:val="20"/>
          <w:szCs w:val="22"/>
        </w:rPr>
        <w:t>et al</w:t>
      </w:r>
      <w:r>
        <w:rPr>
          <w:sz w:val="20"/>
          <w:szCs w:val="22"/>
        </w:rPr>
        <w:t xml:space="preserve">, </w:t>
      </w:r>
      <w:r w:rsidRPr="00C13E12">
        <w:rPr>
          <w:sz w:val="20"/>
          <w:szCs w:val="22"/>
        </w:rPr>
        <w:t>(2010) show that there are numerical problems computing the hessian matrix using numerical derivatives, and the analytic second derivatives can be very tedious to derive for many models.</w:t>
      </w:r>
    </w:p>
    <w:p w:rsidR="00AE3B29" w:rsidRPr="00C13E12" w:rsidRDefault="00AE3B29" w:rsidP="00AE3B29">
      <w:pPr>
        <w:jc w:val="both"/>
        <w:rPr>
          <w:sz w:val="20"/>
          <w:szCs w:val="22"/>
        </w:rPr>
      </w:pPr>
    </w:p>
    <w:p w:rsidR="00AE3B29" w:rsidRPr="00C13E12" w:rsidRDefault="00AE3B29" w:rsidP="00AE3B29">
      <w:pPr>
        <w:jc w:val="both"/>
        <w:rPr>
          <w:sz w:val="20"/>
          <w:szCs w:val="22"/>
        </w:rPr>
      </w:pPr>
      <w:r w:rsidRPr="00C13E12">
        <w:rPr>
          <w:sz w:val="20"/>
          <w:szCs w:val="22"/>
        </w:rPr>
        <w:t xml:space="preserve">The mixed </w:t>
      </w:r>
      <w:proofErr w:type="spellStart"/>
      <w:r w:rsidRPr="00C13E12">
        <w:rPr>
          <w:sz w:val="20"/>
          <w:szCs w:val="22"/>
        </w:rPr>
        <w:t>logit</w:t>
      </w:r>
      <w:proofErr w:type="spellEnd"/>
      <w:r w:rsidRPr="00C13E12">
        <w:rPr>
          <w:sz w:val="20"/>
          <w:szCs w:val="22"/>
        </w:rPr>
        <w:t xml:space="preserve"> model has been applied to many areas of travel behavior analysis, and a key theme to these applications is the complexity of heterogeneity in many settings.</w:t>
      </w:r>
      <w:r>
        <w:rPr>
          <w:sz w:val="20"/>
          <w:szCs w:val="22"/>
        </w:rPr>
        <w:t xml:space="preserve"> </w:t>
      </w:r>
      <w:r w:rsidRPr="00C13E12">
        <w:rPr>
          <w:sz w:val="20"/>
          <w:szCs w:val="22"/>
        </w:rPr>
        <w:t>A number of papers have explored the idea that some heterogeneity is due to scale variation across respondents.</w:t>
      </w:r>
      <w:r>
        <w:rPr>
          <w:sz w:val="20"/>
          <w:szCs w:val="22"/>
        </w:rPr>
        <w:t xml:space="preserve"> </w:t>
      </w:r>
      <w:r w:rsidRPr="00C13E12">
        <w:rPr>
          <w:sz w:val="20"/>
          <w:szCs w:val="22"/>
        </w:rPr>
        <w:t>This type of heterogeneity manifests itself in the absolute scale of the utility parameters (</w:t>
      </w:r>
      <w:proofErr w:type="spellStart"/>
      <w:r>
        <w:rPr>
          <w:sz w:val="20"/>
          <w:szCs w:val="22"/>
        </w:rPr>
        <w:t>σ</w:t>
      </w:r>
      <w:r w:rsidRPr="006612AE">
        <w:rPr>
          <w:sz w:val="20"/>
          <w:szCs w:val="22"/>
          <w:vertAlign w:val="subscript"/>
        </w:rPr>
        <w:t>i</w:t>
      </w:r>
      <w:proofErr w:type="spellEnd"/>
      <w:r w:rsidRPr="00C13E12">
        <w:rPr>
          <w:sz w:val="20"/>
          <w:szCs w:val="22"/>
        </w:rPr>
        <w:t>) varying across respondents, and this rules out the standard specification where each parameter varies independently across respondents.</w:t>
      </w:r>
      <w:r>
        <w:rPr>
          <w:sz w:val="20"/>
          <w:szCs w:val="22"/>
        </w:rPr>
        <w:t xml:space="preserve"> </w:t>
      </w:r>
      <w:r w:rsidRPr="00C13E12">
        <w:rPr>
          <w:sz w:val="20"/>
          <w:szCs w:val="22"/>
        </w:rPr>
        <w:t>Greene and Hensher</w:t>
      </w:r>
      <w:r>
        <w:rPr>
          <w:sz w:val="20"/>
          <w:szCs w:val="22"/>
        </w:rPr>
        <w:t xml:space="preserve"> </w:t>
      </w:r>
      <w:r w:rsidRPr="00C13E12">
        <w:rPr>
          <w:sz w:val="20"/>
          <w:szCs w:val="22"/>
        </w:rPr>
        <w:t xml:space="preserve">(2010) show how to include this in a mixed </w:t>
      </w:r>
      <w:proofErr w:type="spellStart"/>
      <w:r w:rsidRPr="00C13E12">
        <w:rPr>
          <w:sz w:val="20"/>
          <w:szCs w:val="22"/>
        </w:rPr>
        <w:t>logit</w:t>
      </w:r>
      <w:proofErr w:type="spellEnd"/>
      <w:r w:rsidRPr="00C13E12">
        <w:rPr>
          <w:sz w:val="20"/>
          <w:szCs w:val="22"/>
        </w:rPr>
        <w:t xml:space="preserve"> model, but they do not find any strong evidence of scale heterogeneity in the one application they examined.</w:t>
      </w:r>
    </w:p>
    <w:p w:rsidR="00AE3B29" w:rsidRPr="00C13E12" w:rsidRDefault="00AE3B29" w:rsidP="00AE3B29">
      <w:pPr>
        <w:jc w:val="both"/>
        <w:rPr>
          <w:sz w:val="20"/>
          <w:szCs w:val="22"/>
        </w:rPr>
      </w:pPr>
    </w:p>
    <w:p w:rsidR="00AE3B29" w:rsidRPr="00C13E12" w:rsidRDefault="00AE3B29" w:rsidP="00AE3B29">
      <w:pPr>
        <w:jc w:val="both"/>
        <w:rPr>
          <w:sz w:val="20"/>
          <w:szCs w:val="22"/>
        </w:rPr>
      </w:pPr>
      <w:r w:rsidRPr="00C13E12">
        <w:rPr>
          <w:sz w:val="20"/>
          <w:szCs w:val="22"/>
        </w:rPr>
        <w:t>Scale heterogeneity has also been an important issue when jointly modeling SP and RP data.</w:t>
      </w:r>
      <w:r>
        <w:rPr>
          <w:sz w:val="20"/>
          <w:szCs w:val="22"/>
        </w:rPr>
        <w:t xml:space="preserve"> </w:t>
      </w:r>
      <w:proofErr w:type="spellStart"/>
      <w:r w:rsidRPr="00802EC4">
        <w:rPr>
          <w:bCs/>
          <w:sz w:val="20"/>
          <w:szCs w:val="20"/>
        </w:rPr>
        <w:t>Yáñez</w:t>
      </w:r>
      <w:proofErr w:type="spellEnd"/>
      <w:r w:rsidRPr="00C13E12">
        <w:rPr>
          <w:sz w:val="20"/>
          <w:szCs w:val="22"/>
        </w:rPr>
        <w:t xml:space="preserve">, </w:t>
      </w:r>
      <w:r w:rsidRPr="00CB1749">
        <w:rPr>
          <w:i/>
          <w:sz w:val="20"/>
          <w:szCs w:val="22"/>
        </w:rPr>
        <w:t>et al</w:t>
      </w:r>
      <w:r>
        <w:rPr>
          <w:sz w:val="20"/>
          <w:szCs w:val="22"/>
        </w:rPr>
        <w:t>,</w:t>
      </w:r>
      <w:r w:rsidRPr="00C13E12">
        <w:rPr>
          <w:sz w:val="20"/>
          <w:szCs w:val="22"/>
        </w:rPr>
        <w:t xml:space="preserve"> (2010) show how to handle the resulting </w:t>
      </w:r>
      <w:proofErr w:type="spellStart"/>
      <w:r w:rsidRPr="00C13E12">
        <w:rPr>
          <w:sz w:val="20"/>
          <w:szCs w:val="22"/>
        </w:rPr>
        <w:t>heteroskedasticity</w:t>
      </w:r>
      <w:proofErr w:type="spellEnd"/>
      <w:r w:rsidRPr="00C13E12">
        <w:rPr>
          <w:sz w:val="20"/>
          <w:szCs w:val="22"/>
        </w:rPr>
        <w:t xml:space="preserve"> in both mixed </w:t>
      </w:r>
      <w:proofErr w:type="spellStart"/>
      <w:r w:rsidRPr="00C13E12">
        <w:rPr>
          <w:sz w:val="20"/>
          <w:szCs w:val="22"/>
        </w:rPr>
        <w:t>logit</w:t>
      </w:r>
      <w:proofErr w:type="spellEnd"/>
      <w:r w:rsidRPr="00C13E12">
        <w:rPr>
          <w:sz w:val="20"/>
          <w:szCs w:val="22"/>
        </w:rPr>
        <w:t xml:space="preserve"> and GEV models.</w:t>
      </w:r>
      <w:r>
        <w:rPr>
          <w:sz w:val="20"/>
          <w:szCs w:val="22"/>
        </w:rPr>
        <w:t xml:space="preserve"> </w:t>
      </w:r>
      <w:r w:rsidRPr="00C13E12">
        <w:rPr>
          <w:sz w:val="20"/>
          <w:szCs w:val="22"/>
        </w:rPr>
        <w:t xml:space="preserve">Their paper highlights the problem of forecasting from these models when the scales and/or correlations across alternatives </w:t>
      </w:r>
      <w:proofErr w:type="gramStart"/>
      <w:r w:rsidRPr="00C13E12">
        <w:rPr>
          <w:sz w:val="20"/>
          <w:szCs w:val="22"/>
        </w:rPr>
        <w:t>depends</w:t>
      </w:r>
      <w:proofErr w:type="gramEnd"/>
      <w:r w:rsidRPr="00C13E12">
        <w:rPr>
          <w:sz w:val="20"/>
          <w:szCs w:val="22"/>
        </w:rPr>
        <w:t xml:space="preserve"> on SP data.</w:t>
      </w:r>
      <w:r>
        <w:rPr>
          <w:sz w:val="20"/>
          <w:szCs w:val="22"/>
        </w:rPr>
        <w:t xml:space="preserve"> </w:t>
      </w:r>
      <w:r w:rsidRPr="00C13E12">
        <w:rPr>
          <w:sz w:val="20"/>
          <w:szCs w:val="22"/>
        </w:rPr>
        <w:t>Since we typically want to forecast the demand for new alternatives in the real world, we would therefore like to use the RP scales.</w:t>
      </w:r>
      <w:r>
        <w:rPr>
          <w:sz w:val="20"/>
          <w:szCs w:val="22"/>
        </w:rPr>
        <w:t xml:space="preserve"> </w:t>
      </w:r>
      <w:r w:rsidRPr="00C13E12">
        <w:rPr>
          <w:sz w:val="20"/>
          <w:szCs w:val="22"/>
        </w:rPr>
        <w:t>In many settings this is not possible, and this raises some important issues in using these models for forecasting.</w:t>
      </w:r>
      <w:r>
        <w:rPr>
          <w:sz w:val="20"/>
          <w:szCs w:val="22"/>
        </w:rPr>
        <w:t xml:space="preserve"> </w:t>
      </w:r>
      <w:r w:rsidRPr="00C13E12">
        <w:rPr>
          <w:sz w:val="20"/>
          <w:szCs w:val="22"/>
        </w:rPr>
        <w:t xml:space="preserve">Forecasting from random parameter models like mixed </w:t>
      </w:r>
      <w:proofErr w:type="spellStart"/>
      <w:r w:rsidRPr="00C13E12">
        <w:rPr>
          <w:sz w:val="20"/>
          <w:szCs w:val="22"/>
        </w:rPr>
        <w:t>logit</w:t>
      </w:r>
      <w:proofErr w:type="spellEnd"/>
      <w:r w:rsidRPr="00C13E12">
        <w:rPr>
          <w:sz w:val="20"/>
          <w:szCs w:val="22"/>
        </w:rPr>
        <w:t xml:space="preserve"> is tricky and has not been carefully studied.</w:t>
      </w:r>
      <w:r>
        <w:rPr>
          <w:sz w:val="20"/>
          <w:szCs w:val="22"/>
        </w:rPr>
        <w:t xml:space="preserve"> </w:t>
      </w:r>
      <w:r w:rsidRPr="00C13E12">
        <w:rPr>
          <w:sz w:val="20"/>
          <w:szCs w:val="22"/>
        </w:rPr>
        <w:t xml:space="preserve">I will discuss this area more </w:t>
      </w:r>
      <w:proofErr w:type="gramStart"/>
      <w:r w:rsidRPr="00C13E12">
        <w:rPr>
          <w:sz w:val="20"/>
          <w:szCs w:val="22"/>
        </w:rPr>
        <w:t>later</w:t>
      </w:r>
      <w:proofErr w:type="gramEnd"/>
      <w:r w:rsidRPr="00C13E12">
        <w:rPr>
          <w:sz w:val="20"/>
          <w:szCs w:val="22"/>
        </w:rPr>
        <w:t xml:space="preserve"> in this paper.</w:t>
      </w:r>
    </w:p>
    <w:p w:rsidR="00AE3B29" w:rsidRPr="00C13E12" w:rsidRDefault="00AE3B29" w:rsidP="00AE3B29">
      <w:pPr>
        <w:jc w:val="both"/>
        <w:rPr>
          <w:sz w:val="20"/>
          <w:szCs w:val="22"/>
        </w:rPr>
      </w:pPr>
    </w:p>
    <w:p w:rsidR="00AE3B29" w:rsidRPr="00C13E12" w:rsidRDefault="00AE3B29" w:rsidP="00AE3B29">
      <w:pPr>
        <w:jc w:val="both"/>
        <w:rPr>
          <w:sz w:val="20"/>
          <w:szCs w:val="22"/>
        </w:rPr>
      </w:pPr>
      <w:r w:rsidRPr="00C13E12">
        <w:rPr>
          <w:sz w:val="20"/>
          <w:szCs w:val="22"/>
        </w:rPr>
        <w:t>Modern SP studies typically include multiple choice tasks for each respondent.</w:t>
      </w:r>
      <w:r>
        <w:rPr>
          <w:sz w:val="20"/>
          <w:szCs w:val="22"/>
        </w:rPr>
        <w:t xml:space="preserve"> </w:t>
      </w:r>
      <w:proofErr w:type="spellStart"/>
      <w:r w:rsidRPr="00C13E12">
        <w:rPr>
          <w:sz w:val="20"/>
          <w:szCs w:val="22"/>
        </w:rPr>
        <w:t>Revelt</w:t>
      </w:r>
      <w:proofErr w:type="spellEnd"/>
      <w:r w:rsidRPr="00C13E12">
        <w:rPr>
          <w:sz w:val="20"/>
          <w:szCs w:val="22"/>
        </w:rPr>
        <w:t xml:space="preserve"> and Train (1998) suggested a computationally simple approach for capturing the resulting intra-respondent correlation across choice tasks.</w:t>
      </w:r>
      <w:r>
        <w:rPr>
          <w:sz w:val="20"/>
          <w:szCs w:val="22"/>
        </w:rPr>
        <w:t xml:space="preserve"> </w:t>
      </w:r>
      <w:proofErr w:type="spellStart"/>
      <w:r w:rsidRPr="00C13E12">
        <w:rPr>
          <w:sz w:val="20"/>
          <w:szCs w:val="22"/>
        </w:rPr>
        <w:t>Revelt</w:t>
      </w:r>
      <w:proofErr w:type="spellEnd"/>
      <w:r w:rsidRPr="00C13E12">
        <w:rPr>
          <w:sz w:val="20"/>
          <w:szCs w:val="22"/>
        </w:rPr>
        <w:t xml:space="preserve"> and Train specified that the utility function parameters varied across respondents but were constant across choices made by the same respondent.</w:t>
      </w:r>
      <w:r>
        <w:rPr>
          <w:sz w:val="20"/>
          <w:szCs w:val="22"/>
        </w:rPr>
        <w:t xml:space="preserve"> </w:t>
      </w:r>
      <w:r w:rsidRPr="00C13E12">
        <w:rPr>
          <w:sz w:val="20"/>
          <w:szCs w:val="22"/>
        </w:rPr>
        <w:t xml:space="preserve">This specification allows for the estimation of individual-specific </w:t>
      </w:r>
      <w:r w:rsidRPr="00C13E12">
        <w:rPr>
          <w:sz w:val="20"/>
          <w:szCs w:val="22"/>
        </w:rPr>
        <w:lastRenderedPageBreak/>
        <w:t>utility functions when there are sufficient numbers of choice tasks for each respondent.</w:t>
      </w:r>
      <w:r>
        <w:rPr>
          <w:sz w:val="20"/>
          <w:szCs w:val="22"/>
        </w:rPr>
        <w:t xml:space="preserve"> </w:t>
      </w:r>
      <w:r w:rsidRPr="00C13E12">
        <w:rPr>
          <w:sz w:val="20"/>
          <w:szCs w:val="22"/>
        </w:rPr>
        <w:t>Hess and Hensher (2010) have used these individual-specific choice parameters to infer which attributes were ignored in a complex SP experiment by groups of respondents.</w:t>
      </w:r>
      <w:r>
        <w:rPr>
          <w:sz w:val="20"/>
          <w:szCs w:val="22"/>
        </w:rPr>
        <w:t xml:space="preserve"> </w:t>
      </w:r>
      <w:r w:rsidRPr="00C13E12">
        <w:rPr>
          <w:sz w:val="20"/>
          <w:szCs w:val="22"/>
        </w:rPr>
        <w:t xml:space="preserve">It is very easy to use standard mixed </w:t>
      </w:r>
      <w:proofErr w:type="spellStart"/>
      <w:r w:rsidRPr="00C13E12">
        <w:rPr>
          <w:sz w:val="20"/>
          <w:szCs w:val="22"/>
        </w:rPr>
        <w:t>logit</w:t>
      </w:r>
      <w:proofErr w:type="spellEnd"/>
      <w:r w:rsidRPr="00C13E12">
        <w:rPr>
          <w:sz w:val="20"/>
          <w:szCs w:val="22"/>
        </w:rPr>
        <w:t xml:space="preserve"> code to estimate this specification, since it only requires holding the parameter draws in the simulation fixed for each choice made by the same respondent.</w:t>
      </w:r>
    </w:p>
    <w:p w:rsidR="00AE3B29" w:rsidRPr="00C13E12" w:rsidRDefault="00AE3B29" w:rsidP="00AE3B29">
      <w:pPr>
        <w:jc w:val="both"/>
        <w:rPr>
          <w:sz w:val="20"/>
          <w:szCs w:val="22"/>
        </w:rPr>
      </w:pPr>
    </w:p>
    <w:p w:rsidR="00AE3B29" w:rsidRPr="00C13E12" w:rsidRDefault="00AE3B29" w:rsidP="00AE3B29">
      <w:pPr>
        <w:jc w:val="both"/>
        <w:rPr>
          <w:sz w:val="20"/>
          <w:szCs w:val="22"/>
        </w:rPr>
      </w:pPr>
      <w:r w:rsidRPr="00C13E12">
        <w:rPr>
          <w:sz w:val="20"/>
          <w:szCs w:val="22"/>
        </w:rPr>
        <w:t>More recent work (see Hess and Train, 2011) has found evidence of more complex patterns of heterogeneity within and across choices made by the same respondent.</w:t>
      </w:r>
      <w:r>
        <w:rPr>
          <w:sz w:val="20"/>
          <w:szCs w:val="22"/>
        </w:rPr>
        <w:t xml:space="preserve"> </w:t>
      </w:r>
      <w:r w:rsidRPr="00C13E12">
        <w:rPr>
          <w:sz w:val="20"/>
          <w:szCs w:val="22"/>
        </w:rPr>
        <w:t xml:space="preserve">These findings considerably complicate the task of specifying and estimating accurate mixed </w:t>
      </w:r>
      <w:proofErr w:type="spellStart"/>
      <w:r w:rsidRPr="00C13E12">
        <w:rPr>
          <w:sz w:val="20"/>
          <w:szCs w:val="22"/>
        </w:rPr>
        <w:t>logit</w:t>
      </w:r>
      <w:proofErr w:type="spellEnd"/>
      <w:r w:rsidRPr="00C13E12">
        <w:rPr>
          <w:sz w:val="20"/>
          <w:szCs w:val="22"/>
        </w:rPr>
        <w:t xml:space="preserve"> models in settings with repeated choices.</w:t>
      </w:r>
      <w:r>
        <w:rPr>
          <w:sz w:val="20"/>
          <w:szCs w:val="22"/>
        </w:rPr>
        <w:t xml:space="preserve"> </w:t>
      </w:r>
      <w:r w:rsidRPr="00C13E12">
        <w:rPr>
          <w:sz w:val="20"/>
          <w:szCs w:val="22"/>
        </w:rPr>
        <w:t xml:space="preserve">These situations arise naturally with SP experiments, but as </w:t>
      </w:r>
      <w:proofErr w:type="spellStart"/>
      <w:r w:rsidRPr="00802EC4">
        <w:rPr>
          <w:bCs/>
          <w:sz w:val="20"/>
          <w:szCs w:val="20"/>
        </w:rPr>
        <w:t>Yáñez</w:t>
      </w:r>
      <w:proofErr w:type="spellEnd"/>
      <w:r w:rsidR="00A10791">
        <w:rPr>
          <w:bCs/>
          <w:sz w:val="20"/>
          <w:szCs w:val="20"/>
        </w:rPr>
        <w:t>,</w:t>
      </w:r>
      <w:r>
        <w:rPr>
          <w:sz w:val="20"/>
          <w:szCs w:val="22"/>
        </w:rPr>
        <w:t xml:space="preserve"> </w:t>
      </w:r>
      <w:r w:rsidRPr="00CB1749">
        <w:rPr>
          <w:i/>
          <w:sz w:val="20"/>
          <w:szCs w:val="22"/>
        </w:rPr>
        <w:t>et al</w:t>
      </w:r>
      <w:r>
        <w:rPr>
          <w:sz w:val="20"/>
          <w:szCs w:val="22"/>
        </w:rPr>
        <w:t>,</w:t>
      </w:r>
      <w:r w:rsidRPr="00C13E12">
        <w:rPr>
          <w:sz w:val="20"/>
          <w:szCs w:val="22"/>
        </w:rPr>
        <w:t xml:space="preserve"> (201</w:t>
      </w:r>
      <w:r w:rsidR="00A10791">
        <w:rPr>
          <w:sz w:val="20"/>
          <w:szCs w:val="22"/>
        </w:rPr>
        <w:t>1</w:t>
      </w:r>
      <w:r w:rsidRPr="00C13E12">
        <w:rPr>
          <w:sz w:val="20"/>
          <w:szCs w:val="22"/>
        </w:rPr>
        <w:t>) point out they can be very important in analyzing panel data with repeated RP measurements.</w:t>
      </w:r>
      <w:r>
        <w:rPr>
          <w:sz w:val="20"/>
          <w:szCs w:val="22"/>
        </w:rPr>
        <w:t xml:space="preserve"> </w:t>
      </w:r>
      <w:r w:rsidRPr="00C13E12">
        <w:rPr>
          <w:sz w:val="20"/>
          <w:szCs w:val="22"/>
        </w:rPr>
        <w:t xml:space="preserve">As Hensher and Greene (2003) clearly point out, specification choices about how to model intra and inter-respondent heterogeneity impact all outcomes from mixed </w:t>
      </w:r>
      <w:proofErr w:type="spellStart"/>
      <w:r w:rsidRPr="00C13E12">
        <w:rPr>
          <w:sz w:val="20"/>
          <w:szCs w:val="22"/>
        </w:rPr>
        <w:t>logit</w:t>
      </w:r>
      <w:proofErr w:type="spellEnd"/>
      <w:r w:rsidRPr="00C13E12">
        <w:rPr>
          <w:sz w:val="20"/>
          <w:szCs w:val="22"/>
        </w:rPr>
        <w:t xml:space="preserve"> models – including willingness-to-pay (WTP) measures.</w:t>
      </w:r>
    </w:p>
    <w:p w:rsidR="00AE3B29" w:rsidRPr="00C13E12" w:rsidRDefault="00AE3B29" w:rsidP="00AE3B29">
      <w:pPr>
        <w:jc w:val="both"/>
        <w:rPr>
          <w:sz w:val="20"/>
          <w:szCs w:val="22"/>
        </w:rPr>
      </w:pPr>
    </w:p>
    <w:p w:rsidR="00AE3B29" w:rsidRPr="00C13E12" w:rsidRDefault="00AE3B29" w:rsidP="00AE3B29">
      <w:pPr>
        <w:jc w:val="both"/>
        <w:rPr>
          <w:sz w:val="20"/>
          <w:szCs w:val="22"/>
        </w:rPr>
      </w:pPr>
      <w:proofErr w:type="spellStart"/>
      <w:r>
        <w:rPr>
          <w:sz w:val="20"/>
          <w:szCs w:val="22"/>
        </w:rPr>
        <w:t>Scarpa</w:t>
      </w:r>
      <w:proofErr w:type="spellEnd"/>
      <w:r>
        <w:rPr>
          <w:sz w:val="20"/>
          <w:szCs w:val="22"/>
        </w:rPr>
        <w:t xml:space="preserve">, </w:t>
      </w:r>
      <w:r w:rsidRPr="00CB1749">
        <w:rPr>
          <w:i/>
          <w:sz w:val="20"/>
          <w:szCs w:val="22"/>
        </w:rPr>
        <w:t>et al</w:t>
      </w:r>
      <w:r>
        <w:rPr>
          <w:sz w:val="20"/>
          <w:szCs w:val="22"/>
        </w:rPr>
        <w:t xml:space="preserve">, </w:t>
      </w:r>
      <w:r w:rsidRPr="00C13E12">
        <w:rPr>
          <w:sz w:val="20"/>
          <w:szCs w:val="22"/>
        </w:rPr>
        <w:t xml:space="preserve">(2008) show that it is possible to </w:t>
      </w:r>
      <w:proofErr w:type="spellStart"/>
      <w:r w:rsidRPr="00C13E12">
        <w:rPr>
          <w:sz w:val="20"/>
          <w:szCs w:val="22"/>
        </w:rPr>
        <w:t>reparameterize</w:t>
      </w:r>
      <w:proofErr w:type="spellEnd"/>
      <w:r w:rsidRPr="00C13E12">
        <w:rPr>
          <w:sz w:val="20"/>
          <w:szCs w:val="22"/>
        </w:rPr>
        <w:t xml:space="preserve"> the utility function to isolate WTP in a single parameter instead of the usual ratio of time and cost parameters.</w:t>
      </w:r>
      <w:r>
        <w:rPr>
          <w:sz w:val="20"/>
          <w:szCs w:val="22"/>
        </w:rPr>
        <w:t xml:space="preserve"> </w:t>
      </w:r>
      <w:r w:rsidRPr="00C13E12">
        <w:rPr>
          <w:sz w:val="20"/>
          <w:szCs w:val="22"/>
        </w:rPr>
        <w:t xml:space="preserve">This </w:t>
      </w:r>
      <w:proofErr w:type="spellStart"/>
      <w:r w:rsidRPr="00C13E12">
        <w:rPr>
          <w:sz w:val="20"/>
          <w:szCs w:val="22"/>
        </w:rPr>
        <w:t>reparameterization</w:t>
      </w:r>
      <w:proofErr w:type="spellEnd"/>
      <w:r w:rsidRPr="00C13E12">
        <w:rPr>
          <w:sz w:val="20"/>
          <w:szCs w:val="22"/>
        </w:rPr>
        <w:t xml:space="preserve"> allows them to control the distribution of WTP and also separate out the impacts of scale heterogeneity.</w:t>
      </w:r>
      <w:r>
        <w:rPr>
          <w:sz w:val="20"/>
          <w:szCs w:val="22"/>
        </w:rPr>
        <w:t xml:space="preserve"> </w:t>
      </w:r>
      <w:r w:rsidRPr="00C13E12">
        <w:rPr>
          <w:sz w:val="20"/>
          <w:szCs w:val="22"/>
        </w:rPr>
        <w:t>However the utility function is now a nonlinear function of the parameters and this makes it very difficult to estimate using maximum simulated likelihood techniques.</w:t>
      </w:r>
      <w:r>
        <w:rPr>
          <w:sz w:val="20"/>
          <w:szCs w:val="22"/>
        </w:rPr>
        <w:t xml:space="preserve"> </w:t>
      </w:r>
      <w:r w:rsidRPr="00C13E12">
        <w:rPr>
          <w:sz w:val="20"/>
          <w:szCs w:val="22"/>
        </w:rPr>
        <w:t>However they were able to estimate the model using hierarchical Bayes methods which will be described in the next section of the paper.</w:t>
      </w:r>
    </w:p>
    <w:p w:rsidR="00AE3B29" w:rsidRPr="00077D2B" w:rsidRDefault="00AE3B29" w:rsidP="00AE3B29">
      <w:pPr>
        <w:jc w:val="both"/>
        <w:rPr>
          <w:sz w:val="20"/>
          <w:szCs w:val="22"/>
        </w:rPr>
      </w:pPr>
    </w:p>
    <w:p w:rsidR="00AE3B29" w:rsidRPr="00D4083B" w:rsidRDefault="00AE3B29" w:rsidP="00AE3B29">
      <w:pPr>
        <w:ind w:left="540" w:hanging="540"/>
        <w:rPr>
          <w:b/>
          <w:sz w:val="22"/>
          <w:szCs w:val="22"/>
          <w:lang w:val="en-GB"/>
        </w:rPr>
      </w:pPr>
      <w:r w:rsidRPr="00D4083B">
        <w:rPr>
          <w:b/>
          <w:sz w:val="22"/>
          <w:szCs w:val="22"/>
        </w:rPr>
        <w:t>2.1</w:t>
      </w:r>
      <w:r>
        <w:rPr>
          <w:b/>
          <w:sz w:val="22"/>
          <w:szCs w:val="22"/>
        </w:rPr>
        <w:tab/>
        <w:t>Other Models</w:t>
      </w:r>
    </w:p>
    <w:p w:rsidR="00AE3B29" w:rsidRPr="004A5A3E" w:rsidRDefault="00AE3B29" w:rsidP="00AE3B29">
      <w:pPr>
        <w:jc w:val="both"/>
        <w:rPr>
          <w:b/>
          <w:sz w:val="22"/>
          <w:szCs w:val="22"/>
        </w:rPr>
      </w:pPr>
    </w:p>
    <w:p w:rsidR="00AE3B29" w:rsidRPr="00C13E12" w:rsidRDefault="00AE3B29" w:rsidP="00AE3B29">
      <w:pPr>
        <w:jc w:val="both"/>
        <w:rPr>
          <w:sz w:val="20"/>
          <w:szCs w:val="20"/>
        </w:rPr>
      </w:pPr>
      <w:r w:rsidRPr="00C13E12">
        <w:rPr>
          <w:sz w:val="20"/>
          <w:szCs w:val="20"/>
        </w:rPr>
        <w:t>There has been a lot of new work on extensions to the classic discrete choice model.</w:t>
      </w:r>
      <w:r>
        <w:rPr>
          <w:sz w:val="20"/>
          <w:szCs w:val="20"/>
        </w:rPr>
        <w:t xml:space="preserve"> </w:t>
      </w:r>
      <w:r w:rsidRPr="00C13E12">
        <w:rPr>
          <w:sz w:val="20"/>
          <w:szCs w:val="20"/>
        </w:rPr>
        <w:t>Bhat (2005</w:t>
      </w:r>
      <w:r>
        <w:rPr>
          <w:sz w:val="20"/>
          <w:szCs w:val="20"/>
        </w:rPr>
        <w:t xml:space="preserve">; </w:t>
      </w:r>
      <w:r w:rsidRPr="00C13E12">
        <w:rPr>
          <w:sz w:val="20"/>
          <w:szCs w:val="20"/>
        </w:rPr>
        <w:t>2008) and Fang (2008) have both modeled household choice of vehicles and utilization.</w:t>
      </w:r>
      <w:r>
        <w:rPr>
          <w:sz w:val="20"/>
          <w:szCs w:val="20"/>
        </w:rPr>
        <w:t xml:space="preserve"> </w:t>
      </w:r>
      <w:r w:rsidRPr="00C13E12">
        <w:rPr>
          <w:sz w:val="20"/>
          <w:szCs w:val="20"/>
        </w:rPr>
        <w:t>This situation is formally a joint discrete/continuous choice model with the added problem that a household can hold more than one vehicle.</w:t>
      </w:r>
      <w:r>
        <w:rPr>
          <w:sz w:val="20"/>
          <w:szCs w:val="20"/>
        </w:rPr>
        <w:t xml:space="preserve"> </w:t>
      </w:r>
      <w:r w:rsidRPr="00C13E12">
        <w:rPr>
          <w:sz w:val="20"/>
          <w:szCs w:val="20"/>
        </w:rPr>
        <w:t>Since the standard discrete choice model assumes that each respondent chooses one and only one alternative, this requires “exploding” the choice set to be all possible combinations of vehicles a household can hold.</w:t>
      </w:r>
      <w:r>
        <w:rPr>
          <w:sz w:val="20"/>
          <w:szCs w:val="20"/>
        </w:rPr>
        <w:t xml:space="preserve"> </w:t>
      </w:r>
      <w:proofErr w:type="spellStart"/>
      <w:r w:rsidRPr="00C13E12">
        <w:rPr>
          <w:sz w:val="20"/>
          <w:szCs w:val="20"/>
        </w:rPr>
        <w:t>Bhat’s</w:t>
      </w:r>
      <w:proofErr w:type="spellEnd"/>
      <w:r w:rsidRPr="00C13E12">
        <w:rPr>
          <w:sz w:val="20"/>
          <w:szCs w:val="20"/>
        </w:rPr>
        <w:t xml:space="preserve"> MCDEV model provides an elegant solution based on directly solving the household’s constrained optimization problem.</w:t>
      </w:r>
      <w:r>
        <w:rPr>
          <w:sz w:val="20"/>
          <w:szCs w:val="20"/>
        </w:rPr>
        <w:t xml:space="preserve"> </w:t>
      </w:r>
      <w:r w:rsidRPr="00C13E12">
        <w:rPr>
          <w:sz w:val="20"/>
          <w:szCs w:val="20"/>
        </w:rPr>
        <w:t>The simplest version of this model retains the IIA assumption across vehicles, but Bhat has also specified mixed versions of the model to relax this constraint.</w:t>
      </w:r>
    </w:p>
    <w:p w:rsidR="00AE3B29" w:rsidRPr="00C13E12" w:rsidRDefault="00AE3B29" w:rsidP="00AE3B29">
      <w:pPr>
        <w:jc w:val="both"/>
        <w:rPr>
          <w:sz w:val="20"/>
          <w:szCs w:val="20"/>
        </w:rPr>
      </w:pPr>
    </w:p>
    <w:p w:rsidR="00AE3B29" w:rsidRPr="00C13E12" w:rsidRDefault="00AE3B29" w:rsidP="00AE3B29">
      <w:pPr>
        <w:jc w:val="both"/>
        <w:rPr>
          <w:sz w:val="20"/>
          <w:szCs w:val="20"/>
        </w:rPr>
      </w:pPr>
      <w:proofErr w:type="spellStart"/>
      <w:r w:rsidRPr="00C13E12">
        <w:rPr>
          <w:sz w:val="20"/>
          <w:szCs w:val="20"/>
        </w:rPr>
        <w:t>Bhat’s</w:t>
      </w:r>
      <w:proofErr w:type="spellEnd"/>
      <w:r w:rsidRPr="00C13E12">
        <w:rPr>
          <w:sz w:val="20"/>
          <w:szCs w:val="20"/>
        </w:rPr>
        <w:t xml:space="preserve"> model is derived under the assumption that the total miles driven by a household is fixed, and this can be unrealistic for evaluating policies that are aimed at reducing vehicle travel.</w:t>
      </w:r>
      <w:r>
        <w:rPr>
          <w:sz w:val="20"/>
          <w:szCs w:val="20"/>
        </w:rPr>
        <w:t xml:space="preserve"> </w:t>
      </w:r>
      <w:r w:rsidRPr="00C13E12">
        <w:rPr>
          <w:sz w:val="20"/>
          <w:szCs w:val="20"/>
        </w:rPr>
        <w:t xml:space="preserve">Fang takes a more reduced form approach and specifies a system of ordered </w:t>
      </w:r>
      <w:proofErr w:type="spellStart"/>
      <w:r w:rsidRPr="00C13E12">
        <w:rPr>
          <w:sz w:val="20"/>
          <w:szCs w:val="20"/>
        </w:rPr>
        <w:t>probit</w:t>
      </w:r>
      <w:proofErr w:type="spellEnd"/>
      <w:r w:rsidRPr="00C13E12">
        <w:rPr>
          <w:sz w:val="20"/>
          <w:szCs w:val="20"/>
        </w:rPr>
        <w:t xml:space="preserve"> and </w:t>
      </w:r>
      <w:proofErr w:type="spellStart"/>
      <w:proofErr w:type="gramStart"/>
      <w:r w:rsidRPr="00C13E12">
        <w:rPr>
          <w:sz w:val="20"/>
          <w:szCs w:val="20"/>
        </w:rPr>
        <w:t>tobit</w:t>
      </w:r>
      <w:proofErr w:type="spellEnd"/>
      <w:proofErr w:type="gramEnd"/>
      <w:r w:rsidRPr="00C13E12">
        <w:rPr>
          <w:sz w:val="20"/>
          <w:szCs w:val="20"/>
        </w:rPr>
        <w:t xml:space="preserve"> equations with unconstrained error correlations across all equations.</w:t>
      </w:r>
      <w:r>
        <w:rPr>
          <w:sz w:val="20"/>
          <w:szCs w:val="20"/>
        </w:rPr>
        <w:t xml:space="preserve"> </w:t>
      </w:r>
      <w:r w:rsidRPr="00C13E12">
        <w:rPr>
          <w:sz w:val="20"/>
          <w:szCs w:val="20"/>
        </w:rPr>
        <w:t xml:space="preserve">The ordered </w:t>
      </w:r>
      <w:proofErr w:type="spellStart"/>
      <w:r w:rsidRPr="00C13E12">
        <w:rPr>
          <w:sz w:val="20"/>
          <w:szCs w:val="20"/>
        </w:rPr>
        <w:t>probits</w:t>
      </w:r>
      <w:proofErr w:type="spellEnd"/>
      <w:r w:rsidRPr="00C13E12">
        <w:rPr>
          <w:sz w:val="20"/>
          <w:szCs w:val="20"/>
        </w:rPr>
        <w:t xml:space="preserve"> correspond to the household choice of vehicle types, and the </w:t>
      </w:r>
      <w:proofErr w:type="spellStart"/>
      <w:r w:rsidRPr="00C13E12">
        <w:rPr>
          <w:sz w:val="20"/>
          <w:szCs w:val="20"/>
        </w:rPr>
        <w:t>tobits</w:t>
      </w:r>
      <w:proofErr w:type="spellEnd"/>
      <w:r w:rsidRPr="00C13E12">
        <w:rPr>
          <w:sz w:val="20"/>
          <w:szCs w:val="20"/>
        </w:rPr>
        <w:t xml:space="preserve"> correspond to miles driven by the chosen vehicles.</w:t>
      </w:r>
      <w:r>
        <w:rPr>
          <w:sz w:val="20"/>
          <w:szCs w:val="20"/>
        </w:rPr>
        <w:t xml:space="preserve"> </w:t>
      </w:r>
      <w:r w:rsidRPr="00C13E12">
        <w:rPr>
          <w:sz w:val="20"/>
          <w:szCs w:val="20"/>
        </w:rPr>
        <w:t>Fang estimates her model by Bayesian techniques, and demonstrates that the model can predict reductions in vehicle holdings and vehicle miles traveled in response to changes in residential density.</w:t>
      </w:r>
    </w:p>
    <w:p w:rsidR="00AE3B29" w:rsidRPr="00C13E12" w:rsidRDefault="00AE3B29" w:rsidP="00AE3B29">
      <w:pPr>
        <w:jc w:val="both"/>
        <w:rPr>
          <w:sz w:val="20"/>
          <w:szCs w:val="20"/>
        </w:rPr>
      </w:pPr>
      <w:r w:rsidRPr="00C13E12">
        <w:rPr>
          <w:sz w:val="20"/>
          <w:szCs w:val="20"/>
        </w:rPr>
        <w:lastRenderedPageBreak/>
        <w:t>One difficulty in modeling joint discrete/continuous choices is that it has been difficult to specify tractable joint distributions for the discrete and continuous parts of the model.</w:t>
      </w:r>
      <w:r>
        <w:rPr>
          <w:sz w:val="20"/>
          <w:szCs w:val="20"/>
        </w:rPr>
        <w:t xml:space="preserve"> </w:t>
      </w:r>
      <w:r w:rsidRPr="00C13E12">
        <w:rPr>
          <w:sz w:val="20"/>
          <w:szCs w:val="20"/>
        </w:rPr>
        <w:t>Recent work with copulas have greatly alleviated this problem by allowing modelers to “stitch together” convenient marginal distributions for the discrete and continuous parts into a flexible joint distribution. Spissu</w:t>
      </w:r>
      <w:r>
        <w:rPr>
          <w:sz w:val="20"/>
          <w:szCs w:val="20"/>
        </w:rPr>
        <w:t xml:space="preserve">, </w:t>
      </w:r>
      <w:r w:rsidRPr="00CB1749">
        <w:rPr>
          <w:i/>
          <w:sz w:val="20"/>
          <w:szCs w:val="20"/>
        </w:rPr>
        <w:t>et al</w:t>
      </w:r>
      <w:r>
        <w:rPr>
          <w:sz w:val="20"/>
          <w:szCs w:val="20"/>
        </w:rPr>
        <w:t>,</w:t>
      </w:r>
      <w:r w:rsidRPr="00C13E12">
        <w:rPr>
          <w:sz w:val="20"/>
          <w:szCs w:val="20"/>
        </w:rPr>
        <w:t xml:space="preserve"> (2009) provide a good introduction to this promising methodology.</w:t>
      </w:r>
      <w:r>
        <w:rPr>
          <w:sz w:val="20"/>
          <w:szCs w:val="20"/>
        </w:rPr>
        <w:t xml:space="preserve"> </w:t>
      </w:r>
    </w:p>
    <w:p w:rsidR="00AE3B29" w:rsidRPr="00C13E12" w:rsidRDefault="00AE3B29" w:rsidP="00AE3B29">
      <w:pPr>
        <w:jc w:val="both"/>
        <w:rPr>
          <w:sz w:val="20"/>
          <w:szCs w:val="20"/>
        </w:rPr>
      </w:pPr>
    </w:p>
    <w:p w:rsidR="00AE3B29" w:rsidRPr="00C13E12" w:rsidRDefault="00AE3B29" w:rsidP="00AE3B29">
      <w:pPr>
        <w:jc w:val="both"/>
        <w:rPr>
          <w:sz w:val="20"/>
          <w:szCs w:val="20"/>
        </w:rPr>
      </w:pPr>
      <w:r w:rsidRPr="00C13E12">
        <w:rPr>
          <w:sz w:val="20"/>
          <w:szCs w:val="20"/>
        </w:rPr>
        <w:t>When copulas are applied to modeling spatial dependence (e.g.</w:t>
      </w:r>
      <w:r w:rsidR="007C436E">
        <w:rPr>
          <w:sz w:val="20"/>
          <w:szCs w:val="20"/>
        </w:rPr>
        <w:t>,</w:t>
      </w:r>
      <w:r w:rsidRPr="00C13E12">
        <w:rPr>
          <w:sz w:val="20"/>
          <w:szCs w:val="20"/>
        </w:rPr>
        <w:t xml:space="preserve"> detailed location choice) then the likelihood function rapidly becomes intractable.</w:t>
      </w:r>
      <w:r>
        <w:rPr>
          <w:sz w:val="20"/>
          <w:szCs w:val="20"/>
        </w:rPr>
        <w:t xml:space="preserve"> </w:t>
      </w:r>
      <w:r w:rsidRPr="00C13E12">
        <w:rPr>
          <w:sz w:val="20"/>
          <w:szCs w:val="20"/>
        </w:rPr>
        <w:t>Bhat and coauthors have recently adopted approximate Composite Maximum Marginal Likelihood methods to deal with this problem (</w:t>
      </w:r>
      <w:r w:rsidRPr="00476872">
        <w:rPr>
          <w:sz w:val="20"/>
          <w:szCs w:val="20"/>
        </w:rPr>
        <w:t xml:space="preserve">Bhat, </w:t>
      </w:r>
      <w:r w:rsidRPr="00CB1749">
        <w:rPr>
          <w:i/>
          <w:sz w:val="20"/>
          <w:szCs w:val="20"/>
        </w:rPr>
        <w:t>et al</w:t>
      </w:r>
      <w:r w:rsidRPr="00476872">
        <w:rPr>
          <w:sz w:val="20"/>
          <w:szCs w:val="20"/>
        </w:rPr>
        <w:t>, 2010a; b; Bhat, 2011; Bhat and Sidharthan, 2011</w:t>
      </w:r>
      <w:r w:rsidRPr="00C13E12">
        <w:rPr>
          <w:sz w:val="20"/>
          <w:szCs w:val="20"/>
        </w:rPr>
        <w:t>).</w:t>
      </w:r>
      <w:r>
        <w:rPr>
          <w:sz w:val="20"/>
          <w:szCs w:val="20"/>
        </w:rPr>
        <w:t xml:space="preserve"> </w:t>
      </w:r>
      <w:r w:rsidRPr="00C13E12">
        <w:rPr>
          <w:sz w:val="20"/>
          <w:szCs w:val="20"/>
        </w:rPr>
        <w:t>The key idea here is to only consider pairs (or triplets) of discrete alternatives and maximize the marginalized likelihood across these choices. If enough different pairs are included then all parameters of even very high dimensional problems can be identified.</w:t>
      </w:r>
      <w:r>
        <w:rPr>
          <w:sz w:val="20"/>
          <w:szCs w:val="20"/>
        </w:rPr>
        <w:t xml:space="preserve"> </w:t>
      </w:r>
      <w:r w:rsidRPr="00C13E12">
        <w:rPr>
          <w:sz w:val="20"/>
          <w:szCs w:val="20"/>
        </w:rPr>
        <w:t>Although this method is not as efficient as maximum likelihood, it can be applied in situations where even maximum simulated likelihood is infeasible. Furthermore, Bhat and Sidharthan (2011) show simulation evidence that approximate composite maximum likelihood estimators perform at least as well (and many times better) than maximum simulated likelihood for inference in complex discrete choice models.</w:t>
      </w:r>
    </w:p>
    <w:p w:rsidR="00AE3B29" w:rsidRDefault="00AE3B29" w:rsidP="00AE3B29">
      <w:pPr>
        <w:jc w:val="both"/>
        <w:rPr>
          <w:szCs w:val="22"/>
        </w:rPr>
      </w:pPr>
    </w:p>
    <w:p w:rsidR="00AE3B29" w:rsidRPr="003D4CBF" w:rsidRDefault="00AE3B29" w:rsidP="00AE3B29">
      <w:pPr>
        <w:jc w:val="both"/>
        <w:rPr>
          <w:szCs w:val="22"/>
        </w:rPr>
      </w:pPr>
    </w:p>
    <w:p w:rsidR="00AE3B29" w:rsidRPr="00C13E12" w:rsidRDefault="00AE3B29" w:rsidP="00AE3B29">
      <w:pPr>
        <w:numPr>
          <w:ilvl w:val="0"/>
          <w:numId w:val="2"/>
        </w:numPr>
        <w:ind w:left="540" w:hanging="540"/>
        <w:rPr>
          <w:b/>
          <w:smallCaps/>
          <w:szCs w:val="22"/>
        </w:rPr>
      </w:pPr>
      <w:r w:rsidRPr="00C13E12">
        <w:rPr>
          <w:b/>
          <w:smallCaps/>
          <w:szCs w:val="22"/>
        </w:rPr>
        <w:t>Bayesian Models</w:t>
      </w:r>
    </w:p>
    <w:p w:rsidR="00AE3B29" w:rsidRPr="003D4CBF" w:rsidRDefault="00AE3B29" w:rsidP="00AE3B29">
      <w:pPr>
        <w:jc w:val="both"/>
        <w:rPr>
          <w:b/>
          <w:szCs w:val="22"/>
        </w:rPr>
      </w:pPr>
    </w:p>
    <w:p w:rsidR="00AE3B29" w:rsidRPr="00C13E12" w:rsidRDefault="00AE3B29" w:rsidP="00AE3B29">
      <w:pPr>
        <w:jc w:val="both"/>
        <w:rPr>
          <w:sz w:val="20"/>
          <w:szCs w:val="20"/>
        </w:rPr>
      </w:pPr>
      <w:r w:rsidRPr="00C13E12">
        <w:rPr>
          <w:sz w:val="20"/>
          <w:szCs w:val="20"/>
        </w:rPr>
        <w:t xml:space="preserve">Train’s (2009, Chapter 12) book popularized the idea of using Bayesian numerical techniques to estimate mixed </w:t>
      </w:r>
      <w:proofErr w:type="spellStart"/>
      <w:r w:rsidRPr="00C13E12">
        <w:rPr>
          <w:sz w:val="20"/>
          <w:szCs w:val="20"/>
        </w:rPr>
        <w:t>logit</w:t>
      </w:r>
      <w:proofErr w:type="spellEnd"/>
      <w:r w:rsidRPr="00C13E12">
        <w:rPr>
          <w:sz w:val="20"/>
          <w:szCs w:val="20"/>
        </w:rPr>
        <w:t xml:space="preserve"> model.</w:t>
      </w:r>
      <w:r>
        <w:rPr>
          <w:sz w:val="20"/>
          <w:szCs w:val="20"/>
        </w:rPr>
        <w:t xml:space="preserve"> </w:t>
      </w:r>
      <w:r w:rsidRPr="00C13E12">
        <w:rPr>
          <w:sz w:val="20"/>
          <w:szCs w:val="20"/>
        </w:rPr>
        <w:t>He pointed out that in large samples Bayes posterior mean estimates and their associated highest posterior density confidence regions will equal the classical maximum likelihood estimators.</w:t>
      </w:r>
      <w:r>
        <w:rPr>
          <w:sz w:val="20"/>
          <w:szCs w:val="20"/>
        </w:rPr>
        <w:t xml:space="preserve"> </w:t>
      </w:r>
      <w:r w:rsidRPr="00C13E12">
        <w:rPr>
          <w:sz w:val="20"/>
          <w:szCs w:val="20"/>
        </w:rPr>
        <w:t xml:space="preserve">For example, </w:t>
      </w:r>
      <w:proofErr w:type="spellStart"/>
      <w:r>
        <w:rPr>
          <w:sz w:val="20"/>
          <w:szCs w:val="22"/>
        </w:rPr>
        <w:t>Scarpa</w:t>
      </w:r>
      <w:proofErr w:type="spellEnd"/>
      <w:r>
        <w:rPr>
          <w:sz w:val="20"/>
          <w:szCs w:val="22"/>
        </w:rPr>
        <w:t xml:space="preserve">, </w:t>
      </w:r>
      <w:r w:rsidRPr="00CB1749">
        <w:rPr>
          <w:i/>
          <w:sz w:val="20"/>
          <w:szCs w:val="22"/>
        </w:rPr>
        <w:t>et al</w:t>
      </w:r>
      <w:r>
        <w:rPr>
          <w:sz w:val="20"/>
          <w:szCs w:val="22"/>
        </w:rPr>
        <w:t xml:space="preserve">, </w:t>
      </w:r>
      <w:r w:rsidRPr="00C13E12">
        <w:rPr>
          <w:sz w:val="20"/>
          <w:szCs w:val="22"/>
        </w:rPr>
        <w:t xml:space="preserve">(2008) </w:t>
      </w:r>
      <w:r w:rsidRPr="00C13E12">
        <w:rPr>
          <w:sz w:val="20"/>
          <w:szCs w:val="20"/>
        </w:rPr>
        <w:t>used Bayesian techniques to estimate their choice models in WTP space since maximum simulated likelihood estimation didn’t work well for their non-linear utility formulation.</w:t>
      </w:r>
      <w:r>
        <w:rPr>
          <w:sz w:val="20"/>
          <w:szCs w:val="20"/>
        </w:rPr>
        <w:t xml:space="preserve"> Similarly Bento, </w:t>
      </w:r>
      <w:r w:rsidRPr="00CB1749">
        <w:rPr>
          <w:i/>
          <w:sz w:val="20"/>
          <w:szCs w:val="20"/>
        </w:rPr>
        <w:t>et al</w:t>
      </w:r>
      <w:r>
        <w:rPr>
          <w:sz w:val="20"/>
          <w:szCs w:val="20"/>
        </w:rPr>
        <w:t>,</w:t>
      </w:r>
      <w:r w:rsidRPr="00C13E12">
        <w:rPr>
          <w:sz w:val="20"/>
          <w:szCs w:val="20"/>
        </w:rPr>
        <w:t xml:space="preserve"> (2009) used Bayesian estimation techniques for their joint model of household vehicle choice and utilization. </w:t>
      </w:r>
      <w:proofErr w:type="spellStart"/>
      <w:r w:rsidRPr="00C13E12">
        <w:rPr>
          <w:bCs/>
          <w:sz w:val="20"/>
          <w:szCs w:val="20"/>
        </w:rPr>
        <w:t>Sillano</w:t>
      </w:r>
      <w:proofErr w:type="spellEnd"/>
      <w:r w:rsidRPr="00C13E12">
        <w:rPr>
          <w:bCs/>
          <w:sz w:val="20"/>
          <w:szCs w:val="20"/>
        </w:rPr>
        <w:t xml:space="preserve"> and Ortúzar (2005) compared Bayesian and maximum simulated likelihood for a mixed </w:t>
      </w:r>
      <w:proofErr w:type="spellStart"/>
      <w:r w:rsidRPr="00C13E12">
        <w:rPr>
          <w:bCs/>
          <w:sz w:val="20"/>
          <w:szCs w:val="20"/>
        </w:rPr>
        <w:t>logit</w:t>
      </w:r>
      <w:proofErr w:type="spellEnd"/>
      <w:r w:rsidRPr="00C13E12">
        <w:rPr>
          <w:bCs/>
          <w:sz w:val="20"/>
          <w:szCs w:val="20"/>
        </w:rPr>
        <w:t xml:space="preserve"> model.</w:t>
      </w:r>
      <w:r>
        <w:rPr>
          <w:bCs/>
          <w:sz w:val="20"/>
          <w:szCs w:val="20"/>
        </w:rPr>
        <w:t xml:space="preserve"> </w:t>
      </w:r>
      <w:r w:rsidRPr="00C13E12">
        <w:rPr>
          <w:bCs/>
          <w:sz w:val="20"/>
          <w:szCs w:val="20"/>
        </w:rPr>
        <w:t>They concentrated on WTP measures, and found Bayesian methods generally superior.</w:t>
      </w:r>
      <w:r w:rsidRPr="00C13E12">
        <w:rPr>
          <w:sz w:val="20"/>
          <w:szCs w:val="20"/>
        </w:rPr>
        <w:t xml:space="preserve"> </w:t>
      </w:r>
      <w:r w:rsidRPr="00C13E12">
        <w:rPr>
          <w:bCs/>
          <w:sz w:val="20"/>
          <w:szCs w:val="20"/>
        </w:rPr>
        <w:t>Wang</w:t>
      </w:r>
      <w:r>
        <w:rPr>
          <w:bCs/>
          <w:sz w:val="20"/>
          <w:szCs w:val="20"/>
        </w:rPr>
        <w:t xml:space="preserve"> </w:t>
      </w:r>
      <w:r w:rsidRPr="00C13E12">
        <w:rPr>
          <w:bCs/>
          <w:sz w:val="20"/>
          <w:szCs w:val="20"/>
        </w:rPr>
        <w:t>and</w:t>
      </w:r>
      <w:r>
        <w:rPr>
          <w:bCs/>
          <w:sz w:val="20"/>
          <w:szCs w:val="20"/>
        </w:rPr>
        <w:t xml:space="preserve"> </w:t>
      </w:r>
      <w:r w:rsidRPr="00C13E12">
        <w:rPr>
          <w:bCs/>
          <w:sz w:val="20"/>
          <w:szCs w:val="20"/>
        </w:rPr>
        <w:t xml:space="preserve">Kockelman (2009) use Bayesian methods to estimate a complex dynamic ordered </w:t>
      </w:r>
      <w:proofErr w:type="spellStart"/>
      <w:r w:rsidRPr="00C13E12">
        <w:rPr>
          <w:bCs/>
          <w:sz w:val="20"/>
          <w:szCs w:val="20"/>
        </w:rPr>
        <w:t>probit</w:t>
      </w:r>
      <w:proofErr w:type="spellEnd"/>
      <w:r w:rsidRPr="00C13E12">
        <w:rPr>
          <w:bCs/>
          <w:sz w:val="20"/>
          <w:szCs w:val="20"/>
        </w:rPr>
        <w:t xml:space="preserve"> model, and they report that these methods are much easier and more accurate than maximum simulated likelihood.</w:t>
      </w:r>
      <w:r>
        <w:rPr>
          <w:bCs/>
          <w:sz w:val="20"/>
          <w:szCs w:val="20"/>
        </w:rPr>
        <w:t xml:space="preserve"> </w:t>
      </w:r>
      <w:r w:rsidRPr="00C13E12">
        <w:rPr>
          <w:sz w:val="20"/>
          <w:szCs w:val="20"/>
        </w:rPr>
        <w:t>Alvarez-Daziano and Bolduc (2009) use Bayesian techniques to estimate a hybrid choice model of “green vehicle” choice, and they report that maximum simulated likelihood is infeasible for this model.</w:t>
      </w:r>
      <w:r>
        <w:rPr>
          <w:bCs/>
          <w:sz w:val="20"/>
          <w:szCs w:val="20"/>
        </w:rPr>
        <w:t xml:space="preserve"> </w:t>
      </w:r>
      <w:proofErr w:type="gramStart"/>
      <w:r w:rsidRPr="00C13E12">
        <w:rPr>
          <w:bCs/>
          <w:sz w:val="20"/>
          <w:szCs w:val="20"/>
        </w:rPr>
        <w:t>Kim</w:t>
      </w:r>
      <w:r>
        <w:rPr>
          <w:bCs/>
          <w:sz w:val="20"/>
          <w:szCs w:val="20"/>
        </w:rPr>
        <w:t xml:space="preserve">, </w:t>
      </w:r>
      <w:r w:rsidRPr="00CB1749">
        <w:rPr>
          <w:bCs/>
          <w:i/>
          <w:sz w:val="20"/>
          <w:szCs w:val="20"/>
        </w:rPr>
        <w:t>et al</w:t>
      </w:r>
      <w:r>
        <w:rPr>
          <w:bCs/>
          <w:sz w:val="20"/>
          <w:szCs w:val="20"/>
        </w:rPr>
        <w:t>,</w:t>
      </w:r>
      <w:r w:rsidRPr="00C13E12">
        <w:rPr>
          <w:bCs/>
          <w:sz w:val="20"/>
          <w:szCs w:val="20"/>
        </w:rPr>
        <w:t xml:space="preserve"> (2003) use Bayesian methods to estimate a high-dimensional multinomial </w:t>
      </w:r>
      <w:proofErr w:type="spellStart"/>
      <w:r w:rsidRPr="00C13E12">
        <w:rPr>
          <w:bCs/>
          <w:sz w:val="20"/>
          <w:szCs w:val="20"/>
        </w:rPr>
        <w:t>probit</w:t>
      </w:r>
      <w:proofErr w:type="spellEnd"/>
      <w:r w:rsidRPr="00C13E12">
        <w:rPr>
          <w:bCs/>
          <w:sz w:val="20"/>
          <w:szCs w:val="20"/>
        </w:rPr>
        <w:t xml:space="preserve"> model.</w:t>
      </w:r>
      <w:proofErr w:type="gramEnd"/>
      <w:r w:rsidRPr="00C13E12">
        <w:rPr>
          <w:sz w:val="20"/>
          <w:szCs w:val="20"/>
        </w:rPr>
        <w:t xml:space="preserve"> Washington, </w:t>
      </w:r>
      <w:r w:rsidRPr="00CB1749">
        <w:rPr>
          <w:i/>
          <w:sz w:val="20"/>
          <w:szCs w:val="20"/>
        </w:rPr>
        <w:t>et al</w:t>
      </w:r>
      <w:r>
        <w:rPr>
          <w:sz w:val="20"/>
          <w:szCs w:val="20"/>
        </w:rPr>
        <w:t>,</w:t>
      </w:r>
      <w:r w:rsidRPr="00C13E12">
        <w:rPr>
          <w:sz w:val="20"/>
          <w:szCs w:val="20"/>
        </w:rPr>
        <w:t xml:space="preserve"> (2009) is a particularly interesting paper since it uses Bayesian multiple imputation techniques to deal with imputation of non-chosen attribute values in RP surveys – a potentially serious problem that is frequently ignored. </w:t>
      </w:r>
    </w:p>
    <w:p w:rsidR="00AE3B29" w:rsidRPr="00C13E12" w:rsidRDefault="00AE3B29" w:rsidP="00AE3B29">
      <w:pPr>
        <w:jc w:val="both"/>
        <w:rPr>
          <w:sz w:val="20"/>
          <w:szCs w:val="20"/>
        </w:rPr>
      </w:pPr>
    </w:p>
    <w:p w:rsidR="00AE3B29" w:rsidRPr="00C13E12" w:rsidRDefault="00AE3B29" w:rsidP="00AE3B29">
      <w:pPr>
        <w:jc w:val="both"/>
        <w:rPr>
          <w:sz w:val="20"/>
          <w:szCs w:val="20"/>
        </w:rPr>
      </w:pPr>
      <w:r w:rsidRPr="00C13E12">
        <w:rPr>
          <w:sz w:val="20"/>
          <w:szCs w:val="20"/>
        </w:rPr>
        <w:t>Since Train’s (2009) Chapter 12 does an excellent job describing general Bayesian methodology and its application to discrete choice modeling, I will limit this section to describing Bayesian methodology that is not mentioned in Train (2009).</w:t>
      </w:r>
      <w:r>
        <w:rPr>
          <w:sz w:val="20"/>
          <w:szCs w:val="20"/>
        </w:rPr>
        <w:t xml:space="preserve"> </w:t>
      </w:r>
    </w:p>
    <w:p w:rsidR="00AE3B29" w:rsidRPr="00C13E12" w:rsidRDefault="00AE3B29" w:rsidP="00AE3B29">
      <w:pPr>
        <w:jc w:val="both"/>
        <w:rPr>
          <w:sz w:val="20"/>
          <w:szCs w:val="20"/>
        </w:rPr>
      </w:pPr>
    </w:p>
    <w:p w:rsidR="00AE3B29" w:rsidRDefault="00AE3B29" w:rsidP="00AE3B29">
      <w:pPr>
        <w:jc w:val="both"/>
        <w:rPr>
          <w:sz w:val="20"/>
          <w:szCs w:val="20"/>
        </w:rPr>
      </w:pPr>
      <w:r w:rsidRPr="00C13E12">
        <w:rPr>
          <w:sz w:val="20"/>
          <w:szCs w:val="20"/>
        </w:rPr>
        <w:t>The key difference between Bayesian and classical statistics is that Bayesians treat parameters as random variables.</w:t>
      </w:r>
      <w:r>
        <w:rPr>
          <w:sz w:val="20"/>
          <w:szCs w:val="20"/>
        </w:rPr>
        <w:t xml:space="preserve"> </w:t>
      </w:r>
      <w:r w:rsidRPr="00C13E12">
        <w:rPr>
          <w:sz w:val="20"/>
          <w:szCs w:val="20"/>
        </w:rPr>
        <w:t xml:space="preserve">Bayesians are therefore led to summarize their prior knowledge about parameters </w:t>
      </w:r>
      <w:r>
        <w:rPr>
          <w:sz w:val="20"/>
          <w:szCs w:val="20"/>
        </w:rPr>
        <w:t>θ</w:t>
      </w:r>
      <w:r w:rsidRPr="00C13E12">
        <w:rPr>
          <w:sz w:val="20"/>
          <w:szCs w:val="20"/>
        </w:rPr>
        <w:t xml:space="preserve"> by a </w:t>
      </w:r>
      <w:r w:rsidRPr="00C13E12">
        <w:rPr>
          <w:i/>
          <w:sz w:val="20"/>
          <w:szCs w:val="20"/>
        </w:rPr>
        <w:t>prior</w:t>
      </w:r>
      <w:r w:rsidRPr="00C13E12">
        <w:rPr>
          <w:sz w:val="20"/>
          <w:szCs w:val="20"/>
        </w:rPr>
        <w:t xml:space="preserve"> distribution, </w:t>
      </w:r>
      <w:proofErr w:type="gramStart"/>
      <w:r>
        <w:rPr>
          <w:sz w:val="20"/>
          <w:szCs w:val="20"/>
        </w:rPr>
        <w:t>π(</w:t>
      </w:r>
      <w:proofErr w:type="gramEnd"/>
      <w:r>
        <w:rPr>
          <w:sz w:val="20"/>
          <w:szCs w:val="20"/>
        </w:rPr>
        <w:t>θ)</w:t>
      </w:r>
      <w:r w:rsidRPr="00C13E12">
        <w:rPr>
          <w:sz w:val="20"/>
          <w:szCs w:val="20"/>
        </w:rPr>
        <w:t>.</w:t>
      </w:r>
      <w:r>
        <w:rPr>
          <w:sz w:val="20"/>
          <w:szCs w:val="20"/>
        </w:rPr>
        <w:t xml:space="preserve"> </w:t>
      </w:r>
      <w:r w:rsidRPr="00C13E12">
        <w:rPr>
          <w:sz w:val="20"/>
          <w:szCs w:val="20"/>
        </w:rPr>
        <w:t>The sampling distribution, or likelihood function, is given by</w:t>
      </w:r>
      <m:oMath>
        <m:r>
          <w:rPr>
            <w:rFonts w:ascii="Cambria Math" w:hAnsi="Cambria Math"/>
            <w:sz w:val="20"/>
            <w:szCs w:val="20"/>
          </w:rPr>
          <m:t xml:space="preserve"> f</m:t>
        </m:r>
        <m:d>
          <m:dPr>
            <m:ctrlPr>
              <w:rPr>
                <w:rFonts w:ascii="Cambria Math" w:hAnsi="Cambria Math"/>
                <w:i/>
                <w:sz w:val="20"/>
                <w:szCs w:val="20"/>
              </w:rPr>
            </m:ctrlPr>
          </m:dPr>
          <m:e>
            <m:r>
              <w:rPr>
                <w:rFonts w:ascii="Cambria Math" w:hAnsi="Cambria Math"/>
                <w:sz w:val="20"/>
                <w:szCs w:val="20"/>
              </w:rPr>
              <m:t>x</m:t>
            </m:r>
          </m:e>
          <m:e>
            <m:r>
              <w:rPr>
                <w:rFonts w:ascii="Cambria Math" w:hAnsi="Cambria Math"/>
                <w:sz w:val="20"/>
                <w:szCs w:val="20"/>
              </w:rPr>
              <m:t>θ</m:t>
            </m:r>
          </m:e>
        </m:d>
      </m:oMath>
      <w:r w:rsidRPr="00C13E12">
        <w:rPr>
          <w:sz w:val="20"/>
          <w:szCs w:val="20"/>
        </w:rPr>
        <w:t>.</w:t>
      </w:r>
      <w:r>
        <w:rPr>
          <w:sz w:val="20"/>
          <w:szCs w:val="20"/>
        </w:rPr>
        <w:t xml:space="preserve"> </w:t>
      </w:r>
      <w:r w:rsidRPr="00C13E12">
        <w:rPr>
          <w:sz w:val="20"/>
          <w:szCs w:val="20"/>
        </w:rPr>
        <w:t xml:space="preserve">After observing some data, the information about </w:t>
      </w:r>
      <w:r>
        <w:rPr>
          <w:sz w:val="20"/>
          <w:szCs w:val="20"/>
        </w:rPr>
        <w:t>θ</w:t>
      </w:r>
      <w:r w:rsidRPr="00C13E12">
        <w:rPr>
          <w:sz w:val="20"/>
          <w:szCs w:val="20"/>
        </w:rPr>
        <w:t xml:space="preserve"> is given by the </w:t>
      </w:r>
      <w:r w:rsidRPr="00C13E12">
        <w:rPr>
          <w:i/>
          <w:sz w:val="20"/>
          <w:szCs w:val="20"/>
        </w:rPr>
        <w:t>posterior</w:t>
      </w:r>
      <w:r w:rsidRPr="00C13E12">
        <w:rPr>
          <w:sz w:val="20"/>
          <w:szCs w:val="20"/>
        </w:rPr>
        <w:t xml:space="preserve"> distribution:</w:t>
      </w:r>
    </w:p>
    <w:p w:rsidR="00AE3B29" w:rsidRDefault="00AE3B29" w:rsidP="00AE3B29">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AE3B29" w:rsidTr="00EE4B1A">
        <w:tc>
          <w:tcPr>
            <w:tcW w:w="3708" w:type="dxa"/>
            <w:vAlign w:val="center"/>
          </w:tcPr>
          <w:p w:rsidR="00AE3B29" w:rsidRPr="00D40D52" w:rsidRDefault="00AE3B29" w:rsidP="00EE4B1A">
            <w:pPr>
              <w:jc w:val="both"/>
              <w:rPr>
                <w:sz w:val="20"/>
                <w:szCs w:val="20"/>
              </w:rPr>
            </w:pPr>
            <m:oMathPara>
              <m:oMathParaPr>
                <m:jc m:val="left"/>
              </m:oMathParaPr>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θ</m:t>
                    </m:r>
                  </m:e>
                  <m:e>
                    <m:r>
                      <w:rPr>
                        <w:rFonts w:ascii="Cambria Math" w:hAnsi="Cambria Math"/>
                        <w:sz w:val="20"/>
                        <w:szCs w:val="20"/>
                      </w:rPr>
                      <m:t>x</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e>
                        <m:r>
                          <w:rPr>
                            <w:rFonts w:ascii="Cambria Math" w:hAnsi="Cambria Math"/>
                            <w:sz w:val="20"/>
                            <w:szCs w:val="20"/>
                          </w:rPr>
                          <m:t>θ</m:t>
                        </m:r>
                      </m:e>
                    </m:d>
                    <m:r>
                      <w:rPr>
                        <w:rFonts w:ascii="Cambria Math" w:hAnsi="Cambria Math"/>
                        <w:sz w:val="20"/>
                        <w:szCs w:val="20"/>
                      </w:rPr>
                      <m:t>π</m:t>
                    </m:r>
                    <m:d>
                      <m:dPr>
                        <m:ctrlPr>
                          <w:rPr>
                            <w:rFonts w:ascii="Cambria Math" w:hAnsi="Cambria Math"/>
                            <w:i/>
                            <w:sz w:val="20"/>
                            <w:szCs w:val="20"/>
                          </w:rPr>
                        </m:ctrlPr>
                      </m:dPr>
                      <m:e>
                        <m:r>
                          <w:rPr>
                            <w:rFonts w:ascii="Cambria Math" w:hAnsi="Cambria Math"/>
                            <w:sz w:val="20"/>
                            <w:szCs w:val="20"/>
                          </w:rPr>
                          <m:t>θ</m:t>
                        </m:r>
                      </m:e>
                    </m:d>
                  </m:num>
                  <m:den>
                    <m:nary>
                      <m:naryPr>
                        <m:limLoc m:val="undOvr"/>
                        <m:subHide m:val="on"/>
                        <m:supHide m:val="on"/>
                        <m:ctrlPr>
                          <w:rPr>
                            <w:rFonts w:ascii="Cambria Math" w:hAnsi="Cambria Math"/>
                            <w:i/>
                            <w:sz w:val="20"/>
                            <w:szCs w:val="20"/>
                          </w:rPr>
                        </m:ctrlPr>
                      </m:naryPr>
                      <m:sub/>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e>
                            <m:r>
                              <w:rPr>
                                <w:rFonts w:ascii="Cambria Math" w:hAnsi="Cambria Math"/>
                                <w:sz w:val="20"/>
                                <w:szCs w:val="20"/>
                              </w:rPr>
                              <m:t>θ</m:t>
                            </m:r>
                          </m:e>
                        </m:d>
                        <m:r>
                          <w:rPr>
                            <w:rFonts w:ascii="Cambria Math" w:hAnsi="Cambria Math"/>
                            <w:sz w:val="20"/>
                            <w:szCs w:val="20"/>
                          </w:rPr>
                          <m:t>π</m:t>
                        </m:r>
                        <m:d>
                          <m:dPr>
                            <m:ctrlPr>
                              <w:rPr>
                                <w:rFonts w:ascii="Cambria Math" w:hAnsi="Cambria Math"/>
                                <w:i/>
                                <w:sz w:val="20"/>
                                <w:szCs w:val="20"/>
                              </w:rPr>
                            </m:ctrlPr>
                          </m:dPr>
                          <m:e>
                            <m:r>
                              <w:rPr>
                                <w:rFonts w:ascii="Cambria Math" w:hAnsi="Cambria Math"/>
                                <w:sz w:val="20"/>
                                <w:szCs w:val="20"/>
                              </w:rPr>
                              <m:t>θ</m:t>
                            </m:r>
                          </m:e>
                        </m:d>
                        <m:r>
                          <w:rPr>
                            <w:rFonts w:ascii="Cambria Math" w:hAnsi="Cambria Math"/>
                            <w:sz w:val="20"/>
                            <w:szCs w:val="20"/>
                          </w:rPr>
                          <m:t>d</m:t>
                        </m:r>
                        <m:d>
                          <m:dPr>
                            <m:ctrlPr>
                              <w:rPr>
                                <w:rFonts w:ascii="Cambria Math" w:hAnsi="Cambria Math"/>
                                <w:i/>
                                <w:sz w:val="20"/>
                                <w:szCs w:val="20"/>
                              </w:rPr>
                            </m:ctrlPr>
                          </m:dPr>
                          <m:e>
                            <m:r>
                              <w:rPr>
                                <w:rFonts w:ascii="Cambria Math" w:hAnsi="Cambria Math"/>
                                <w:sz w:val="20"/>
                                <w:szCs w:val="20"/>
                              </w:rPr>
                              <m:t>θ</m:t>
                            </m:r>
                          </m:e>
                        </m:d>
                      </m:e>
                    </m:nary>
                  </m:den>
                </m:f>
              </m:oMath>
            </m:oMathPara>
          </w:p>
        </w:tc>
        <w:tc>
          <w:tcPr>
            <w:tcW w:w="3708" w:type="dxa"/>
            <w:vAlign w:val="center"/>
          </w:tcPr>
          <w:p w:rsidR="00AE3B29" w:rsidRDefault="00AE3B29" w:rsidP="00EE4B1A">
            <w:pPr>
              <w:jc w:val="both"/>
              <w:rPr>
                <w:sz w:val="20"/>
                <w:szCs w:val="20"/>
              </w:rPr>
            </w:pPr>
            <w:r>
              <w:rPr>
                <w:sz w:val="20"/>
                <w:szCs w:val="20"/>
              </w:rPr>
              <w:t>(2)</w:t>
            </w:r>
          </w:p>
        </w:tc>
      </w:tr>
    </w:tbl>
    <w:p w:rsidR="00AE3B29" w:rsidRPr="00C13E12" w:rsidRDefault="00AE3B29" w:rsidP="00AE3B29">
      <w:pPr>
        <w:jc w:val="both"/>
        <w:rPr>
          <w:sz w:val="20"/>
          <w:szCs w:val="20"/>
        </w:rPr>
      </w:pPr>
    </w:p>
    <w:p w:rsidR="00AE3B29" w:rsidRPr="00C13E12" w:rsidRDefault="00AE3B29" w:rsidP="00AE3B29">
      <w:pPr>
        <w:jc w:val="both"/>
        <w:rPr>
          <w:sz w:val="20"/>
          <w:szCs w:val="20"/>
        </w:rPr>
      </w:pPr>
      <w:r w:rsidRPr="00C13E12">
        <w:rPr>
          <w:sz w:val="20"/>
          <w:szCs w:val="20"/>
        </w:rPr>
        <w:t>Note that all inference is based on this posterior distribution.</w:t>
      </w:r>
      <w:r>
        <w:rPr>
          <w:sz w:val="20"/>
          <w:szCs w:val="20"/>
        </w:rPr>
        <w:t xml:space="preserve"> </w:t>
      </w:r>
      <w:r w:rsidRPr="00C13E12">
        <w:rPr>
          <w:sz w:val="20"/>
          <w:szCs w:val="20"/>
        </w:rPr>
        <w:t>In many circumstances (under quadratic loss) the optimal Bayes estimator is the mean of the posterior distribution, and Bayesian confidence bands are typically given by the smallest region of the posterior distribution with the specified coverage probability.</w:t>
      </w:r>
      <w:r>
        <w:rPr>
          <w:sz w:val="20"/>
          <w:szCs w:val="20"/>
        </w:rPr>
        <w:t xml:space="preserve"> </w:t>
      </w:r>
      <w:r w:rsidRPr="00C13E12">
        <w:rPr>
          <w:sz w:val="20"/>
          <w:szCs w:val="20"/>
        </w:rPr>
        <w:t xml:space="preserve">Bayesian confidence regions are interpreted as fixed regions containing the random parameter </w:t>
      </w:r>
      <w:r>
        <w:rPr>
          <w:sz w:val="20"/>
          <w:szCs w:val="20"/>
        </w:rPr>
        <w:t>θ</w:t>
      </w:r>
      <w:r w:rsidRPr="00C13E12">
        <w:rPr>
          <w:sz w:val="20"/>
          <w:szCs w:val="20"/>
        </w:rPr>
        <w:t xml:space="preserve"> with the specified coverage probability (called Highest Posterior Density regions).</w:t>
      </w:r>
      <w:r>
        <w:rPr>
          <w:sz w:val="20"/>
          <w:szCs w:val="20"/>
        </w:rPr>
        <w:t xml:space="preserve"> </w:t>
      </w:r>
      <w:r w:rsidRPr="00C13E12">
        <w:rPr>
          <w:sz w:val="20"/>
          <w:szCs w:val="20"/>
        </w:rPr>
        <w:t xml:space="preserve">This is very different from the classical confidence region, which is a region with random endpoints that contain the true value </w:t>
      </w:r>
      <w:r>
        <w:rPr>
          <w:sz w:val="20"/>
          <w:szCs w:val="20"/>
        </w:rPr>
        <w:t>θ</w:t>
      </w:r>
      <w:r w:rsidRPr="00C13E12">
        <w:rPr>
          <w:sz w:val="20"/>
          <w:szCs w:val="20"/>
        </w:rPr>
        <w:t xml:space="preserve"> with the specified probability over independent repeated realizations of the data.</w:t>
      </w:r>
      <w:r>
        <w:rPr>
          <w:sz w:val="20"/>
          <w:szCs w:val="20"/>
        </w:rPr>
        <w:t xml:space="preserve"> </w:t>
      </w:r>
      <w:r w:rsidRPr="00C13E12">
        <w:rPr>
          <w:sz w:val="20"/>
          <w:szCs w:val="20"/>
        </w:rPr>
        <w:t>Classical inference therefore depends on the distribution of unobserved realizations of the data, whereas Bayesian inference conditions on the observed data.</w:t>
      </w:r>
      <w:r>
        <w:rPr>
          <w:sz w:val="20"/>
          <w:szCs w:val="20"/>
        </w:rPr>
        <w:t xml:space="preserve"> </w:t>
      </w:r>
      <w:r w:rsidRPr="00C13E12">
        <w:rPr>
          <w:sz w:val="20"/>
          <w:szCs w:val="20"/>
        </w:rPr>
        <w:t>Bayesian inference is also exact and does not rely on asymptotic approximations.</w:t>
      </w:r>
      <w:r>
        <w:rPr>
          <w:sz w:val="20"/>
          <w:szCs w:val="20"/>
        </w:rPr>
        <w:t xml:space="preserve"> </w:t>
      </w:r>
    </w:p>
    <w:p w:rsidR="00AE3B29" w:rsidRPr="00C13E12" w:rsidRDefault="00AE3B29" w:rsidP="00AE3B29">
      <w:pPr>
        <w:jc w:val="both"/>
        <w:rPr>
          <w:sz w:val="20"/>
          <w:szCs w:val="20"/>
        </w:rPr>
      </w:pPr>
    </w:p>
    <w:p w:rsidR="00AE3B29" w:rsidRPr="00C13E12" w:rsidRDefault="00AE3B29" w:rsidP="00AE3B29">
      <w:pPr>
        <w:jc w:val="both"/>
        <w:rPr>
          <w:sz w:val="20"/>
          <w:szCs w:val="20"/>
        </w:rPr>
      </w:pPr>
      <w:r w:rsidRPr="00C13E12">
        <w:rPr>
          <w:sz w:val="20"/>
          <w:szCs w:val="20"/>
        </w:rPr>
        <w:t>A key problem with applied econometric work is model uncertainty; we are never certain that we have specified the correct model and almost all empirical work just reports inference conditional on some model being correct.</w:t>
      </w:r>
      <w:r>
        <w:rPr>
          <w:sz w:val="20"/>
          <w:szCs w:val="20"/>
        </w:rPr>
        <w:t xml:space="preserve"> </w:t>
      </w:r>
      <w:proofErr w:type="spellStart"/>
      <w:r w:rsidRPr="00C13E12">
        <w:rPr>
          <w:sz w:val="20"/>
          <w:szCs w:val="20"/>
        </w:rPr>
        <w:t>Leamer</w:t>
      </w:r>
      <w:proofErr w:type="spellEnd"/>
      <w:r w:rsidRPr="00C13E12">
        <w:rPr>
          <w:sz w:val="20"/>
          <w:szCs w:val="20"/>
        </w:rPr>
        <w:t xml:space="preserve"> (1983) clearly shows that this practice (sometimes also called pretest, data mining, or data snooping bias) can lead to very misleading inferences.</w:t>
      </w:r>
      <w:r>
        <w:rPr>
          <w:sz w:val="20"/>
          <w:szCs w:val="20"/>
        </w:rPr>
        <w:t xml:space="preserve"> </w:t>
      </w:r>
      <w:r w:rsidRPr="00C13E12">
        <w:rPr>
          <w:sz w:val="20"/>
          <w:szCs w:val="20"/>
        </w:rPr>
        <w:t>There is no solution to this problem within the classical statistical paradigm - particularly in the case where competing models are not nested in each other.</w:t>
      </w:r>
      <w:r>
        <w:rPr>
          <w:sz w:val="20"/>
          <w:szCs w:val="20"/>
        </w:rPr>
        <w:t xml:space="preserve"> </w:t>
      </w:r>
      <w:r w:rsidRPr="00C13E12">
        <w:rPr>
          <w:sz w:val="20"/>
          <w:szCs w:val="20"/>
        </w:rPr>
        <w:t xml:space="preserve">For example, many applications of nested </w:t>
      </w:r>
      <w:proofErr w:type="spellStart"/>
      <w:r w:rsidRPr="00C13E12">
        <w:rPr>
          <w:sz w:val="20"/>
          <w:szCs w:val="20"/>
        </w:rPr>
        <w:t>logit</w:t>
      </w:r>
      <w:proofErr w:type="spellEnd"/>
      <w:r w:rsidRPr="00C13E12">
        <w:rPr>
          <w:sz w:val="20"/>
          <w:szCs w:val="20"/>
        </w:rPr>
        <w:t xml:space="preserve"> models have correlation structures (commonly called tree structures) that cannot be nested in a larger nested </w:t>
      </w:r>
      <w:proofErr w:type="spellStart"/>
      <w:r w:rsidRPr="00C13E12">
        <w:rPr>
          <w:sz w:val="20"/>
          <w:szCs w:val="20"/>
        </w:rPr>
        <w:t>logit</w:t>
      </w:r>
      <w:proofErr w:type="spellEnd"/>
      <w:r w:rsidRPr="00C13E12">
        <w:rPr>
          <w:sz w:val="20"/>
          <w:szCs w:val="20"/>
        </w:rPr>
        <w:t xml:space="preserve"> model.</w:t>
      </w:r>
      <w:r>
        <w:rPr>
          <w:sz w:val="20"/>
          <w:szCs w:val="20"/>
        </w:rPr>
        <w:t xml:space="preserve"> </w:t>
      </w:r>
    </w:p>
    <w:p w:rsidR="00AE3B29" w:rsidRPr="00C13E12" w:rsidRDefault="00AE3B29" w:rsidP="00AE3B29">
      <w:pPr>
        <w:jc w:val="both"/>
        <w:rPr>
          <w:sz w:val="20"/>
          <w:szCs w:val="20"/>
        </w:rPr>
      </w:pPr>
    </w:p>
    <w:p w:rsidR="00AE3B29" w:rsidRDefault="00AE3B29" w:rsidP="00AE3B29">
      <w:pPr>
        <w:jc w:val="both"/>
        <w:rPr>
          <w:sz w:val="20"/>
          <w:szCs w:val="20"/>
        </w:rPr>
      </w:pPr>
      <w:r w:rsidRPr="00C13E12">
        <w:rPr>
          <w:sz w:val="20"/>
          <w:szCs w:val="20"/>
        </w:rPr>
        <w:t>The Bayesian approach to this problem does not require the choice of a correct model.</w:t>
      </w:r>
      <w:r>
        <w:rPr>
          <w:sz w:val="20"/>
          <w:szCs w:val="20"/>
        </w:rPr>
        <w:t xml:space="preserve"> </w:t>
      </w:r>
      <w:r w:rsidRPr="00C13E12">
        <w:rPr>
          <w:sz w:val="20"/>
          <w:szCs w:val="20"/>
        </w:rPr>
        <w:t>Inference can be carried out unconditional on model choice.</w:t>
      </w:r>
      <w:r>
        <w:rPr>
          <w:sz w:val="20"/>
          <w:szCs w:val="20"/>
        </w:rPr>
        <w:t xml:space="preserve"> </w:t>
      </w:r>
      <w:r w:rsidRPr="00C13E12">
        <w:rPr>
          <w:sz w:val="20"/>
          <w:szCs w:val="20"/>
        </w:rPr>
        <w:t xml:space="preserve">Suppose there are </w:t>
      </w:r>
      <w:r w:rsidRPr="00C13E12">
        <w:rPr>
          <w:i/>
          <w:sz w:val="20"/>
          <w:szCs w:val="20"/>
        </w:rPr>
        <w:t>M</w:t>
      </w:r>
      <w:r w:rsidRPr="00C13E12">
        <w:rPr>
          <w:sz w:val="20"/>
          <w:szCs w:val="20"/>
        </w:rPr>
        <w:t xml:space="preserve"> competing models indexed by </w:t>
      </w:r>
      <w:r w:rsidRPr="00C13E12">
        <w:rPr>
          <w:i/>
          <w:sz w:val="20"/>
          <w:szCs w:val="20"/>
        </w:rPr>
        <w:t xml:space="preserve">m </w:t>
      </w:r>
      <w:r w:rsidRPr="00C13E12">
        <w:rPr>
          <w:sz w:val="20"/>
          <w:szCs w:val="20"/>
        </w:rPr>
        <w:t>with likelihood</w:t>
      </w: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m</m:t>
            </m:r>
          </m:sub>
        </m:sSub>
        <m:d>
          <m:dPr>
            <m:ctrlPr>
              <w:rPr>
                <w:rFonts w:ascii="Cambria Math" w:hAnsi="Cambria Math"/>
                <w:i/>
                <w:sz w:val="20"/>
                <w:szCs w:val="20"/>
              </w:rPr>
            </m:ctrlPr>
          </m:dPr>
          <m:e>
            <m:r>
              <w:rPr>
                <w:rFonts w:ascii="Cambria Math" w:hAnsi="Cambria Math"/>
                <w:sz w:val="20"/>
                <w:szCs w:val="20"/>
              </w:rPr>
              <m:t>x</m:t>
            </m:r>
          </m:e>
          <m:e>
            <m:r>
              <w:rPr>
                <w:rFonts w:ascii="Cambria Math" w:hAnsi="Cambria Math"/>
                <w:sz w:val="20"/>
                <w:szCs w:val="20"/>
              </w:rPr>
              <m:t>θ</m:t>
            </m:r>
          </m:e>
        </m:d>
      </m:oMath>
      <w:r>
        <w:rPr>
          <w:i/>
          <w:sz w:val="20"/>
          <w:szCs w:val="20"/>
        </w:rPr>
        <w:t xml:space="preserve"> </w:t>
      </w:r>
      <w:r w:rsidRPr="00C13E12">
        <w:rPr>
          <w:sz w:val="20"/>
          <w:szCs w:val="20"/>
        </w:rPr>
        <w:t xml:space="preserve">and prior </w:t>
      </w:r>
      <w:proofErr w:type="gramStart"/>
      <w:r w:rsidRPr="00C13E12">
        <w:rPr>
          <w:sz w:val="20"/>
          <w:szCs w:val="20"/>
        </w:rPr>
        <w:t>density</w:t>
      </w:r>
      <w:r>
        <w:rPr>
          <w:sz w:val="20"/>
          <w:szCs w:val="20"/>
        </w:rPr>
        <w:t xml:space="preserve"> </w:t>
      </w:r>
      <m:oMath>
        <w:proofErr w:type="gramEnd"/>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m</m:t>
            </m:r>
          </m:sub>
        </m:sSub>
        <m:d>
          <m:dPr>
            <m:ctrlPr>
              <w:rPr>
                <w:rFonts w:ascii="Cambria Math" w:hAnsi="Cambria Math"/>
                <w:i/>
                <w:sz w:val="20"/>
                <w:szCs w:val="20"/>
              </w:rPr>
            </m:ctrlPr>
          </m:dPr>
          <m:e>
            <m:r>
              <w:rPr>
                <w:rFonts w:ascii="Cambria Math" w:hAnsi="Cambria Math"/>
                <w:sz w:val="20"/>
                <w:szCs w:val="20"/>
              </w:rPr>
              <m:t>θ</m:t>
            </m:r>
          </m:e>
        </m:d>
      </m:oMath>
      <w:r w:rsidRPr="00C13E12">
        <w:rPr>
          <w:sz w:val="20"/>
          <w:szCs w:val="20"/>
        </w:rPr>
        <w:t>.</w:t>
      </w:r>
      <w:r>
        <w:rPr>
          <w:sz w:val="20"/>
          <w:szCs w:val="20"/>
        </w:rPr>
        <w:t xml:space="preserve"> </w:t>
      </w:r>
      <w:r w:rsidRPr="00C13E12">
        <w:rPr>
          <w:sz w:val="20"/>
          <w:szCs w:val="20"/>
        </w:rPr>
        <w:t>Let</w:t>
      </w: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m</m:t>
            </m:r>
          </m:sub>
        </m:sSub>
      </m:oMath>
      <w:r w:rsidRPr="00C13E12">
        <w:rPr>
          <w:sz w:val="20"/>
          <w:szCs w:val="20"/>
        </w:rPr>
        <w:t xml:space="preserve"> be the prior probability that model </w:t>
      </w:r>
      <w:r w:rsidRPr="00C13E12">
        <w:rPr>
          <w:i/>
          <w:sz w:val="20"/>
          <w:szCs w:val="20"/>
        </w:rPr>
        <w:t xml:space="preserve">m </w:t>
      </w:r>
      <w:r w:rsidRPr="00C13E12">
        <w:rPr>
          <w:sz w:val="20"/>
          <w:szCs w:val="20"/>
        </w:rPr>
        <w:t>is correct.</w:t>
      </w:r>
      <w:r>
        <w:rPr>
          <w:sz w:val="20"/>
          <w:szCs w:val="20"/>
        </w:rPr>
        <w:t xml:space="preserve"> </w:t>
      </w:r>
      <w:r w:rsidRPr="00C13E12">
        <w:rPr>
          <w:sz w:val="20"/>
          <w:szCs w:val="20"/>
        </w:rPr>
        <w:t xml:space="preserve">The marginal data density for model </w:t>
      </w:r>
      <w:r w:rsidRPr="00C13E12">
        <w:rPr>
          <w:i/>
          <w:sz w:val="20"/>
          <w:szCs w:val="20"/>
        </w:rPr>
        <w:t>m</w:t>
      </w:r>
      <w:r w:rsidRPr="00C13E12">
        <w:rPr>
          <w:sz w:val="20"/>
          <w:szCs w:val="20"/>
        </w:rPr>
        <w:t xml:space="preserve"> by:</w:t>
      </w:r>
    </w:p>
    <w:p w:rsidR="00AE3B29" w:rsidRDefault="00AE3B29" w:rsidP="00AE3B29">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AE3B29" w:rsidTr="00EE4B1A">
        <w:tc>
          <w:tcPr>
            <w:tcW w:w="3708" w:type="dxa"/>
            <w:vAlign w:val="center"/>
          </w:tcPr>
          <w:p w:rsidR="00AE3B29" w:rsidRPr="00F53869" w:rsidRDefault="00EF5686" w:rsidP="00EE4B1A">
            <w:pPr>
              <w:jc w:val="both"/>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m</m:t>
                    </m:r>
                  </m:sub>
                </m:sSub>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nary>
                  <m:naryPr>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m</m:t>
                        </m:r>
                      </m:sub>
                    </m:sSub>
                    <m:d>
                      <m:dPr>
                        <m:ctrlPr>
                          <w:rPr>
                            <w:rFonts w:ascii="Cambria Math" w:hAnsi="Cambria Math"/>
                            <w:i/>
                            <w:sz w:val="20"/>
                            <w:szCs w:val="20"/>
                          </w:rPr>
                        </m:ctrlPr>
                      </m:dPr>
                      <m:e>
                        <m:r>
                          <w:rPr>
                            <w:rFonts w:ascii="Cambria Math" w:hAnsi="Cambria Math"/>
                            <w:sz w:val="20"/>
                            <w:szCs w:val="20"/>
                          </w:rPr>
                          <m:t>x</m:t>
                        </m:r>
                      </m:e>
                      <m:e>
                        <m:r>
                          <w:rPr>
                            <w:rFonts w:ascii="Cambria Math" w:hAnsi="Cambria Math"/>
                            <w:sz w:val="20"/>
                            <w:szCs w:val="20"/>
                          </w:rPr>
                          <m:t>θ</m:t>
                        </m:r>
                      </m:e>
                    </m:d>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m</m:t>
                        </m:r>
                      </m:sub>
                    </m:sSub>
                    <m:d>
                      <m:dPr>
                        <m:ctrlPr>
                          <w:rPr>
                            <w:rFonts w:ascii="Cambria Math" w:hAnsi="Cambria Math"/>
                            <w:i/>
                            <w:sz w:val="20"/>
                            <w:szCs w:val="20"/>
                          </w:rPr>
                        </m:ctrlPr>
                      </m:dPr>
                      <m:e>
                        <m:r>
                          <w:rPr>
                            <w:rFonts w:ascii="Cambria Math" w:hAnsi="Cambria Math"/>
                            <w:sz w:val="20"/>
                            <w:szCs w:val="20"/>
                          </w:rPr>
                          <m:t>θ</m:t>
                        </m:r>
                      </m:e>
                    </m:d>
                    <m:r>
                      <w:rPr>
                        <w:rFonts w:ascii="Cambria Math" w:hAnsi="Cambria Math"/>
                        <w:sz w:val="20"/>
                        <w:szCs w:val="20"/>
                      </w:rPr>
                      <m:t>dθ</m:t>
                    </m:r>
                  </m:e>
                </m:nary>
              </m:oMath>
            </m:oMathPara>
          </w:p>
        </w:tc>
        <w:tc>
          <w:tcPr>
            <w:tcW w:w="3708" w:type="dxa"/>
            <w:vAlign w:val="center"/>
          </w:tcPr>
          <w:p w:rsidR="00AE3B29" w:rsidRDefault="00AE3B29" w:rsidP="00684916">
            <w:pPr>
              <w:jc w:val="right"/>
              <w:rPr>
                <w:sz w:val="20"/>
                <w:szCs w:val="20"/>
              </w:rPr>
            </w:pPr>
            <w:r>
              <w:rPr>
                <w:sz w:val="20"/>
                <w:szCs w:val="20"/>
              </w:rPr>
              <w:t>(3)</w:t>
            </w:r>
          </w:p>
        </w:tc>
      </w:tr>
    </w:tbl>
    <w:p w:rsidR="00AE3B29" w:rsidRPr="00C13E12" w:rsidRDefault="00AE3B29" w:rsidP="00AE3B29">
      <w:pPr>
        <w:jc w:val="both"/>
        <w:rPr>
          <w:sz w:val="20"/>
          <w:szCs w:val="20"/>
        </w:rPr>
      </w:pPr>
    </w:p>
    <w:p w:rsidR="00AE3B29" w:rsidRDefault="00AE3B29" w:rsidP="00AE3B29">
      <w:pPr>
        <w:jc w:val="both"/>
        <w:rPr>
          <w:sz w:val="20"/>
          <w:szCs w:val="20"/>
        </w:rPr>
      </w:pPr>
      <w:r w:rsidRPr="00C13E12">
        <w:rPr>
          <w:sz w:val="20"/>
          <w:szCs w:val="20"/>
        </w:rPr>
        <w:t xml:space="preserve">Note that the marginal density can be hard to simulate in complex models, but new algorithms by </w:t>
      </w:r>
      <w:proofErr w:type="spellStart"/>
      <w:r w:rsidRPr="00C13E12">
        <w:rPr>
          <w:sz w:val="20"/>
          <w:szCs w:val="20"/>
        </w:rPr>
        <w:t>Jeliazkov</w:t>
      </w:r>
      <w:proofErr w:type="spellEnd"/>
      <w:r w:rsidRPr="00C13E12">
        <w:rPr>
          <w:sz w:val="20"/>
          <w:szCs w:val="20"/>
        </w:rPr>
        <w:t xml:space="preserve"> and </w:t>
      </w:r>
      <w:proofErr w:type="spellStart"/>
      <w:r w:rsidRPr="00C13E12">
        <w:rPr>
          <w:sz w:val="20"/>
          <w:szCs w:val="20"/>
        </w:rPr>
        <w:t>Chib</w:t>
      </w:r>
      <w:proofErr w:type="spellEnd"/>
      <w:r>
        <w:rPr>
          <w:sz w:val="20"/>
          <w:szCs w:val="20"/>
        </w:rPr>
        <w:t xml:space="preserve"> (2001</w:t>
      </w:r>
      <w:r w:rsidR="00DF01E3">
        <w:rPr>
          <w:sz w:val="20"/>
          <w:szCs w:val="20"/>
        </w:rPr>
        <w:t xml:space="preserve">), </w:t>
      </w:r>
      <w:proofErr w:type="spellStart"/>
      <w:r w:rsidR="00DF01E3">
        <w:rPr>
          <w:sz w:val="20"/>
          <w:szCs w:val="20"/>
        </w:rPr>
        <w:t>Chib</w:t>
      </w:r>
      <w:proofErr w:type="spellEnd"/>
      <w:r w:rsidR="00DF01E3">
        <w:rPr>
          <w:sz w:val="20"/>
          <w:szCs w:val="20"/>
        </w:rPr>
        <w:t xml:space="preserve"> and </w:t>
      </w:r>
      <w:proofErr w:type="spellStart"/>
      <w:r w:rsidR="00DF01E3" w:rsidRPr="00802EC4">
        <w:rPr>
          <w:bCs/>
          <w:sz w:val="20"/>
          <w:szCs w:val="20"/>
        </w:rPr>
        <w:t>Jeliazkov</w:t>
      </w:r>
      <w:proofErr w:type="spellEnd"/>
      <w:r w:rsidRPr="00C13E12">
        <w:rPr>
          <w:sz w:val="20"/>
          <w:szCs w:val="20"/>
        </w:rPr>
        <w:t xml:space="preserve"> </w:t>
      </w:r>
      <w:r w:rsidR="00DF01E3">
        <w:rPr>
          <w:sz w:val="20"/>
          <w:szCs w:val="20"/>
        </w:rPr>
        <w:t>(</w:t>
      </w:r>
      <w:r w:rsidRPr="00C13E12">
        <w:rPr>
          <w:sz w:val="20"/>
          <w:szCs w:val="20"/>
        </w:rPr>
        <w:t>2005) have greatly reduced the computational burden.</w:t>
      </w:r>
      <w:r>
        <w:rPr>
          <w:sz w:val="20"/>
          <w:szCs w:val="20"/>
        </w:rPr>
        <w:t xml:space="preserve"> </w:t>
      </w:r>
      <w:r w:rsidRPr="00C13E12">
        <w:rPr>
          <w:sz w:val="20"/>
          <w:szCs w:val="20"/>
        </w:rPr>
        <w:t xml:space="preserve">The posterior probability that model </w:t>
      </w:r>
      <w:r w:rsidRPr="00C13E12">
        <w:rPr>
          <w:i/>
          <w:sz w:val="20"/>
          <w:szCs w:val="20"/>
        </w:rPr>
        <w:t>m</w:t>
      </w:r>
      <w:r w:rsidRPr="00C13E12">
        <w:rPr>
          <w:sz w:val="20"/>
          <w:szCs w:val="20"/>
        </w:rPr>
        <w:t xml:space="preserve"> is correct is given by:</w:t>
      </w:r>
    </w:p>
    <w:p w:rsidR="00AE3B29" w:rsidRDefault="00AE3B29" w:rsidP="00AE3B29">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AE3B29" w:rsidTr="00EE4B1A">
        <w:tc>
          <w:tcPr>
            <w:tcW w:w="3708" w:type="dxa"/>
            <w:vAlign w:val="center"/>
          </w:tcPr>
          <w:p w:rsidR="00AE3B29" w:rsidRPr="00F53869" w:rsidRDefault="00EF5686" w:rsidP="00EE4B1A">
            <w:pPr>
              <w:jc w:val="both"/>
              <w:rPr>
                <w:sz w:val="20"/>
                <w:szCs w:val="20"/>
              </w:rPr>
            </w:pPr>
            <m:oMathPara>
              <m:oMathParaPr>
                <m:jc m:val="left"/>
              </m:oMathParaPr>
              <m:oMath>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m</m:t>
                        </m:r>
                      </m:sub>
                    </m:sSub>
                  </m:e>
                </m:acc>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m</m:t>
                        </m:r>
                      </m:sub>
                    </m:sSub>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m</m:t>
                        </m:r>
                      </m:sub>
                    </m:sSub>
                    <m:d>
                      <m:dPr>
                        <m:ctrlPr>
                          <w:rPr>
                            <w:rFonts w:ascii="Cambria Math" w:hAnsi="Cambria Math"/>
                            <w:i/>
                            <w:sz w:val="20"/>
                            <w:szCs w:val="20"/>
                          </w:rPr>
                        </m:ctrlPr>
                      </m:dPr>
                      <m:e>
                        <m:r>
                          <w:rPr>
                            <w:rFonts w:ascii="Cambria Math" w:hAnsi="Cambria Math"/>
                            <w:sz w:val="20"/>
                            <w:szCs w:val="20"/>
                          </w:rPr>
                          <m:t>x</m:t>
                        </m:r>
                      </m:e>
                    </m:d>
                  </m:num>
                  <m:den>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M</m:t>
                        </m:r>
                      </m:sup>
                      <m:e>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j</m:t>
                            </m:r>
                          </m:sub>
                        </m:sSub>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j</m:t>
                            </m:r>
                          </m:sub>
                        </m:sSub>
                        <m:d>
                          <m:dPr>
                            <m:ctrlPr>
                              <w:rPr>
                                <w:rFonts w:ascii="Cambria Math" w:hAnsi="Cambria Math"/>
                                <w:i/>
                                <w:sz w:val="20"/>
                                <w:szCs w:val="20"/>
                              </w:rPr>
                            </m:ctrlPr>
                          </m:dPr>
                          <m:e>
                            <m:r>
                              <w:rPr>
                                <w:rFonts w:ascii="Cambria Math" w:hAnsi="Cambria Math"/>
                                <w:sz w:val="20"/>
                                <w:szCs w:val="20"/>
                              </w:rPr>
                              <m:t>x</m:t>
                            </m:r>
                          </m:e>
                        </m:d>
                      </m:e>
                    </m:nary>
                  </m:den>
                </m:f>
              </m:oMath>
            </m:oMathPara>
          </w:p>
        </w:tc>
        <w:tc>
          <w:tcPr>
            <w:tcW w:w="3708" w:type="dxa"/>
            <w:vAlign w:val="center"/>
          </w:tcPr>
          <w:p w:rsidR="00AE3B29" w:rsidRDefault="00AE3B29" w:rsidP="00684916">
            <w:pPr>
              <w:jc w:val="right"/>
              <w:rPr>
                <w:sz w:val="20"/>
                <w:szCs w:val="20"/>
              </w:rPr>
            </w:pPr>
            <w:r>
              <w:rPr>
                <w:sz w:val="20"/>
                <w:szCs w:val="20"/>
              </w:rPr>
              <w:t>(4)</w:t>
            </w:r>
          </w:p>
        </w:tc>
      </w:tr>
    </w:tbl>
    <w:p w:rsidR="00AE3B29" w:rsidRPr="00C13E12" w:rsidRDefault="00AE3B29" w:rsidP="00AE3B29">
      <w:pPr>
        <w:jc w:val="both"/>
        <w:rPr>
          <w:sz w:val="20"/>
          <w:szCs w:val="20"/>
        </w:rPr>
      </w:pPr>
    </w:p>
    <w:p w:rsidR="00AE3B29" w:rsidRDefault="00AE3B29" w:rsidP="00AE3B29">
      <w:pPr>
        <w:jc w:val="both"/>
        <w:rPr>
          <w:sz w:val="20"/>
          <w:szCs w:val="20"/>
        </w:rPr>
      </w:pPr>
      <w:r w:rsidRPr="00C13E12">
        <w:rPr>
          <w:sz w:val="20"/>
          <w:szCs w:val="20"/>
        </w:rPr>
        <w:t xml:space="preserve">These posterior probabilities might suggest that there is an obvious correct model, but in any case the unconditional posterior distribution for </w:t>
      </w:r>
      <m:oMath>
        <m:r>
          <w:rPr>
            <w:rFonts w:ascii="Cambria Math" w:hAnsi="Cambria Math"/>
            <w:sz w:val="20"/>
            <w:szCs w:val="20"/>
          </w:rPr>
          <m:t>θ</m:t>
        </m:r>
      </m:oMath>
      <w:r w:rsidRPr="00C13E12">
        <w:rPr>
          <w:sz w:val="20"/>
          <w:szCs w:val="20"/>
        </w:rPr>
        <w:t xml:space="preserve"> is then given by:</w:t>
      </w:r>
    </w:p>
    <w:p w:rsidR="00AE3B29" w:rsidRDefault="00AE3B29" w:rsidP="00AE3B29">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AE3B29" w:rsidTr="00EE4B1A">
        <w:tc>
          <w:tcPr>
            <w:tcW w:w="3708" w:type="dxa"/>
            <w:vAlign w:val="center"/>
          </w:tcPr>
          <w:p w:rsidR="00AE3B29" w:rsidRPr="00F53869" w:rsidRDefault="00EF5686" w:rsidP="00EE4B1A">
            <w:pPr>
              <w:jc w:val="both"/>
              <w:rPr>
                <w:sz w:val="20"/>
                <w:szCs w:val="20"/>
              </w:rPr>
            </w:pPr>
            <m:oMathPara>
              <m:oMathParaPr>
                <m:jc m:val="left"/>
              </m:oMathParaPr>
              <m:oMath>
                <m:acc>
                  <m:accPr>
                    <m:chr m:val="̅"/>
                    <m:ctrlPr>
                      <w:rPr>
                        <w:rFonts w:ascii="Cambria Math" w:hAnsi="Cambria Math"/>
                        <w:i/>
                        <w:sz w:val="20"/>
                        <w:szCs w:val="20"/>
                      </w:rPr>
                    </m:ctrlPr>
                  </m:accPr>
                  <m:e>
                    <m:r>
                      <w:rPr>
                        <w:rFonts w:ascii="Cambria Math" w:hAnsi="Cambria Math"/>
                        <w:sz w:val="20"/>
                        <w:szCs w:val="20"/>
                      </w:rPr>
                      <m:t>p</m:t>
                    </m:r>
                  </m:e>
                </m:acc>
                <m:d>
                  <m:dPr>
                    <m:ctrlPr>
                      <w:rPr>
                        <w:rFonts w:ascii="Cambria Math" w:hAnsi="Cambria Math"/>
                        <w:i/>
                        <w:sz w:val="20"/>
                        <w:szCs w:val="20"/>
                      </w:rPr>
                    </m:ctrlPr>
                  </m:dPr>
                  <m:e>
                    <m:r>
                      <w:rPr>
                        <w:rFonts w:ascii="Cambria Math" w:hAnsi="Cambria Math"/>
                        <w:sz w:val="20"/>
                        <w:szCs w:val="20"/>
                      </w:rPr>
                      <m:t>θ</m:t>
                    </m:r>
                  </m:e>
                  <m:e>
                    <m:r>
                      <w:rPr>
                        <w:rFonts w:ascii="Cambria Math" w:hAnsi="Cambria Math"/>
                        <w:sz w:val="20"/>
                        <w:szCs w:val="20"/>
                      </w:rPr>
                      <m:t>x</m:t>
                    </m:r>
                  </m:e>
                </m:d>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M</m:t>
                    </m:r>
                  </m:sup>
                  <m:e>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j</m:t>
                            </m:r>
                          </m:sub>
                        </m:sSub>
                      </m:e>
                    </m:acc>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j</m:t>
                        </m:r>
                      </m:sub>
                    </m:sSub>
                    <m:d>
                      <m:dPr>
                        <m:ctrlPr>
                          <w:rPr>
                            <w:rFonts w:ascii="Cambria Math" w:hAnsi="Cambria Math"/>
                            <w:i/>
                            <w:sz w:val="20"/>
                            <w:szCs w:val="20"/>
                          </w:rPr>
                        </m:ctrlPr>
                      </m:dPr>
                      <m:e>
                        <m:r>
                          <w:rPr>
                            <w:rFonts w:ascii="Cambria Math" w:hAnsi="Cambria Math"/>
                            <w:sz w:val="20"/>
                            <w:szCs w:val="20"/>
                          </w:rPr>
                          <m:t>θ</m:t>
                        </m:r>
                      </m:e>
                      <m:e>
                        <m:r>
                          <w:rPr>
                            <w:rFonts w:ascii="Cambria Math" w:hAnsi="Cambria Math"/>
                            <w:sz w:val="20"/>
                            <w:szCs w:val="20"/>
                          </w:rPr>
                          <m:t>x</m:t>
                        </m:r>
                      </m:e>
                    </m:d>
                  </m:e>
                </m:nary>
              </m:oMath>
            </m:oMathPara>
          </w:p>
        </w:tc>
        <w:tc>
          <w:tcPr>
            <w:tcW w:w="3708" w:type="dxa"/>
            <w:vAlign w:val="center"/>
          </w:tcPr>
          <w:p w:rsidR="00AE3B29" w:rsidRDefault="00AE3B29" w:rsidP="00684916">
            <w:pPr>
              <w:jc w:val="right"/>
              <w:rPr>
                <w:sz w:val="20"/>
                <w:szCs w:val="20"/>
              </w:rPr>
            </w:pPr>
            <w:r>
              <w:rPr>
                <w:sz w:val="20"/>
                <w:szCs w:val="20"/>
              </w:rPr>
              <w:t>(5)</w:t>
            </w:r>
          </w:p>
        </w:tc>
      </w:tr>
    </w:tbl>
    <w:p w:rsidR="00AE3B29" w:rsidRPr="00C13E12" w:rsidRDefault="00AE3B29" w:rsidP="00AE3B29">
      <w:pPr>
        <w:jc w:val="both"/>
        <w:rPr>
          <w:sz w:val="20"/>
          <w:szCs w:val="20"/>
        </w:rPr>
      </w:pPr>
    </w:p>
    <w:p w:rsidR="00AE3B29" w:rsidRPr="00C13E12" w:rsidRDefault="00AE3B29" w:rsidP="00AE3B29">
      <w:pPr>
        <w:jc w:val="both"/>
        <w:rPr>
          <w:sz w:val="20"/>
          <w:szCs w:val="20"/>
        </w:rPr>
      </w:pPr>
      <w:r w:rsidRPr="00C13E12">
        <w:rPr>
          <w:sz w:val="20"/>
          <w:szCs w:val="20"/>
        </w:rPr>
        <w:t>In the common case where there is uncertainty about the correct model, then averaging over models as in equation (3.4) will almost always yield better results than arbitrary choice of a “correct” model.</w:t>
      </w:r>
    </w:p>
    <w:p w:rsidR="00AE3B29" w:rsidRPr="00C13E12" w:rsidRDefault="00AE3B29" w:rsidP="00AE3B29">
      <w:pPr>
        <w:jc w:val="both"/>
        <w:rPr>
          <w:sz w:val="20"/>
          <w:szCs w:val="20"/>
        </w:rPr>
      </w:pPr>
    </w:p>
    <w:p w:rsidR="00AE3B29" w:rsidRPr="00C13E12" w:rsidRDefault="00AE3B29" w:rsidP="00AE3B29">
      <w:pPr>
        <w:jc w:val="both"/>
        <w:rPr>
          <w:sz w:val="20"/>
          <w:szCs w:val="20"/>
        </w:rPr>
      </w:pPr>
      <w:r w:rsidRPr="00C13E12">
        <w:rPr>
          <w:sz w:val="20"/>
          <w:szCs w:val="20"/>
        </w:rPr>
        <w:t>One important advantage of Bayesian analysis of flexible discrete choice models can be clarified by considering the all too frequent case where at least some of the covariance parameters are poorly identified.</w:t>
      </w:r>
      <w:r>
        <w:rPr>
          <w:sz w:val="20"/>
          <w:szCs w:val="20"/>
        </w:rPr>
        <w:t xml:space="preserve"> </w:t>
      </w:r>
      <w:r w:rsidRPr="00C13E12">
        <w:rPr>
          <w:sz w:val="20"/>
          <w:szCs w:val="20"/>
        </w:rPr>
        <w:t>This means that the likelihood function will be almost flat along the dimensions corresponding to these parameters, and classical methods will therefore have problems converging to the optimum.</w:t>
      </w:r>
      <w:r>
        <w:rPr>
          <w:sz w:val="20"/>
          <w:szCs w:val="20"/>
        </w:rPr>
        <w:t xml:space="preserve"> </w:t>
      </w:r>
      <w:r w:rsidRPr="00C13E12">
        <w:rPr>
          <w:sz w:val="20"/>
          <w:szCs w:val="20"/>
        </w:rPr>
        <w:t>As long as proper prior distributions are used</w:t>
      </w:r>
      <w:r>
        <w:rPr>
          <w:sz w:val="20"/>
          <w:szCs w:val="20"/>
        </w:rPr>
        <w:t xml:space="preserve"> </w:t>
      </w:r>
      <w:r w:rsidRPr="00C13E12">
        <w:rPr>
          <w:sz w:val="20"/>
          <w:szCs w:val="20"/>
        </w:rPr>
        <w:t>Bayesian sampling methods should converge, but it is very likely that the resulting posterior distribution for the poorly identified parameters will have the same shape as the prior distribution for these parameters.</w:t>
      </w:r>
      <w:r>
        <w:rPr>
          <w:sz w:val="20"/>
          <w:szCs w:val="20"/>
        </w:rPr>
        <w:t xml:space="preserve"> </w:t>
      </w:r>
      <w:r w:rsidRPr="00C13E12">
        <w:rPr>
          <w:sz w:val="20"/>
          <w:szCs w:val="20"/>
        </w:rPr>
        <w:t>However, it is still possible to carry out informative Bayesian inference on other parameters of interest.</w:t>
      </w:r>
      <w:r>
        <w:rPr>
          <w:sz w:val="20"/>
          <w:szCs w:val="20"/>
        </w:rPr>
        <w:t xml:space="preserve"> </w:t>
      </w:r>
      <w:r w:rsidRPr="00C13E12">
        <w:rPr>
          <w:sz w:val="20"/>
          <w:szCs w:val="20"/>
        </w:rPr>
        <w:t>More generally, comparison of the information conveyed in the prior and likelihood distributions is an excellent way to quantify the relative importance of these two inputs into Bayesian inference.</w:t>
      </w:r>
    </w:p>
    <w:p w:rsidR="00AE3B29" w:rsidRPr="00433E53" w:rsidRDefault="00AE3B29" w:rsidP="00AE3B29">
      <w:pPr>
        <w:jc w:val="both"/>
      </w:pPr>
    </w:p>
    <w:p w:rsidR="00AE3B29" w:rsidRPr="00A34869" w:rsidRDefault="00AE3B29" w:rsidP="00AE3B29">
      <w:pPr>
        <w:jc w:val="both"/>
        <w:rPr>
          <w:szCs w:val="22"/>
        </w:rPr>
      </w:pPr>
    </w:p>
    <w:p w:rsidR="00AE3B29" w:rsidRPr="00A34869" w:rsidRDefault="00AE3B29" w:rsidP="00AE3B29">
      <w:pPr>
        <w:numPr>
          <w:ilvl w:val="0"/>
          <w:numId w:val="2"/>
        </w:numPr>
        <w:ind w:left="540" w:hanging="540"/>
        <w:rPr>
          <w:b/>
          <w:smallCaps/>
          <w:szCs w:val="22"/>
        </w:rPr>
      </w:pPr>
      <w:r w:rsidRPr="00802EC4">
        <w:rPr>
          <w:b/>
          <w:smallCaps/>
          <w:szCs w:val="22"/>
        </w:rPr>
        <w:t>Inference and Forecasting for Complex Choice</w:t>
      </w:r>
      <w:r>
        <w:rPr>
          <w:b/>
          <w:smallCaps/>
          <w:szCs w:val="22"/>
        </w:rPr>
        <w:t xml:space="preserve"> Models</w:t>
      </w:r>
    </w:p>
    <w:p w:rsidR="00AE3B29" w:rsidRPr="00A34869" w:rsidRDefault="00AE3B29" w:rsidP="00AE3B29">
      <w:pPr>
        <w:jc w:val="both"/>
        <w:rPr>
          <w:b/>
          <w:szCs w:val="22"/>
        </w:rPr>
      </w:pPr>
    </w:p>
    <w:p w:rsidR="00AE3B29" w:rsidRPr="00802EC4" w:rsidRDefault="00AE3B29" w:rsidP="00AE3B29">
      <w:pPr>
        <w:jc w:val="both"/>
        <w:rPr>
          <w:sz w:val="20"/>
          <w:szCs w:val="20"/>
        </w:rPr>
      </w:pPr>
      <w:r w:rsidRPr="00802EC4">
        <w:rPr>
          <w:sz w:val="20"/>
          <w:szCs w:val="20"/>
        </w:rPr>
        <w:t xml:space="preserve">While we all fit increasingly complex models of travel behavior, we are still mostly interested in derived quantities like WTP measures, </w:t>
      </w:r>
      <w:proofErr w:type="spellStart"/>
      <w:r w:rsidRPr="00802EC4">
        <w:rPr>
          <w:sz w:val="20"/>
          <w:szCs w:val="20"/>
        </w:rPr>
        <w:t>elasticities</w:t>
      </w:r>
      <w:proofErr w:type="spellEnd"/>
      <w:r w:rsidRPr="00802EC4">
        <w:rPr>
          <w:sz w:val="20"/>
          <w:szCs w:val="20"/>
        </w:rPr>
        <w:t>, or scenario forecasts.</w:t>
      </w:r>
      <w:r>
        <w:rPr>
          <w:sz w:val="20"/>
          <w:szCs w:val="20"/>
        </w:rPr>
        <w:t xml:space="preserve"> </w:t>
      </w:r>
      <w:r w:rsidRPr="00802EC4">
        <w:rPr>
          <w:sz w:val="20"/>
          <w:szCs w:val="20"/>
        </w:rPr>
        <w:t>Bayesians base all forecasts off the posterior distribution and inference for these forecasts are given by highest posterior density regions calculated from the posterior distributions.</w:t>
      </w:r>
      <w:r>
        <w:rPr>
          <w:sz w:val="20"/>
          <w:szCs w:val="20"/>
        </w:rPr>
        <w:t xml:space="preserve"> </w:t>
      </w:r>
      <w:r w:rsidRPr="00802EC4">
        <w:rPr>
          <w:sz w:val="20"/>
          <w:szCs w:val="20"/>
        </w:rPr>
        <w:t xml:space="preserve">The situation is not so clear for classical statisticians as illustrated by </w:t>
      </w:r>
      <w:proofErr w:type="spellStart"/>
      <w:r w:rsidRPr="00802EC4">
        <w:rPr>
          <w:sz w:val="20"/>
          <w:szCs w:val="20"/>
        </w:rPr>
        <w:t>Sillano</w:t>
      </w:r>
      <w:proofErr w:type="spellEnd"/>
      <w:r w:rsidRPr="00802EC4">
        <w:rPr>
          <w:sz w:val="20"/>
          <w:szCs w:val="20"/>
        </w:rPr>
        <w:t xml:space="preserve"> and </w:t>
      </w:r>
      <w:proofErr w:type="spellStart"/>
      <w:r w:rsidRPr="00802EC4">
        <w:rPr>
          <w:sz w:val="20"/>
          <w:szCs w:val="20"/>
        </w:rPr>
        <w:t>Ortuzar’s</w:t>
      </w:r>
      <w:proofErr w:type="spellEnd"/>
      <w:r w:rsidRPr="00802EC4">
        <w:rPr>
          <w:sz w:val="20"/>
          <w:szCs w:val="20"/>
        </w:rPr>
        <w:t xml:space="preserve"> (2005) finding that the implied distribution of WTP measures from a panel data mixed </w:t>
      </w:r>
      <w:proofErr w:type="spellStart"/>
      <w:r w:rsidRPr="00802EC4">
        <w:rPr>
          <w:sz w:val="20"/>
          <w:szCs w:val="20"/>
        </w:rPr>
        <w:t>logit</w:t>
      </w:r>
      <w:proofErr w:type="spellEnd"/>
      <w:r w:rsidRPr="00802EC4">
        <w:rPr>
          <w:sz w:val="20"/>
          <w:szCs w:val="20"/>
        </w:rPr>
        <w:t xml:space="preserve"> model are very different depending on whether the computations are conditioned on the individual-specific utility parameter estimates.</w:t>
      </w:r>
      <w:r>
        <w:rPr>
          <w:sz w:val="20"/>
          <w:szCs w:val="20"/>
        </w:rPr>
        <w:t xml:space="preserve"> </w:t>
      </w:r>
      <w:r w:rsidRPr="00802EC4">
        <w:rPr>
          <w:sz w:val="20"/>
          <w:szCs w:val="20"/>
        </w:rPr>
        <w:t xml:space="preserve">Bayesians would implicitly condition on these individual-specific parameters since they condition all inference on the observed choices. </w:t>
      </w:r>
    </w:p>
    <w:p w:rsidR="00AE3B29" w:rsidRPr="00802EC4" w:rsidRDefault="00AE3B29" w:rsidP="00AE3B29">
      <w:pPr>
        <w:jc w:val="both"/>
        <w:rPr>
          <w:sz w:val="20"/>
          <w:szCs w:val="20"/>
        </w:rPr>
      </w:pPr>
    </w:p>
    <w:p w:rsidR="00AE3B29" w:rsidRPr="00802EC4" w:rsidRDefault="00AE3B29" w:rsidP="00AE3B29">
      <w:pPr>
        <w:jc w:val="both"/>
        <w:rPr>
          <w:sz w:val="20"/>
          <w:szCs w:val="20"/>
        </w:rPr>
      </w:pPr>
      <w:r w:rsidRPr="00802EC4">
        <w:rPr>
          <w:sz w:val="20"/>
          <w:szCs w:val="20"/>
        </w:rPr>
        <w:t>Hess and Daly (2009) have produced a nice Excel tool for calculating standard errors for derived quantities like WTP measures.</w:t>
      </w:r>
      <w:r>
        <w:rPr>
          <w:sz w:val="20"/>
          <w:szCs w:val="20"/>
        </w:rPr>
        <w:t xml:space="preserve"> </w:t>
      </w:r>
      <w:r w:rsidRPr="00802EC4">
        <w:rPr>
          <w:sz w:val="20"/>
          <w:szCs w:val="20"/>
        </w:rPr>
        <w:t>They claim that their methods are superior to a bootstrap procedure where the standard error of the WTP measure is simulated by draws from the asymptotic covariance matrix of the underlying parameters.</w:t>
      </w:r>
      <w:r>
        <w:rPr>
          <w:sz w:val="20"/>
          <w:szCs w:val="20"/>
        </w:rPr>
        <w:t xml:space="preserve"> </w:t>
      </w:r>
      <w:r w:rsidRPr="00802EC4">
        <w:rPr>
          <w:sz w:val="20"/>
          <w:szCs w:val="20"/>
        </w:rPr>
        <w:t xml:space="preserve">The correct Bayesian approach would be to simulate draws of the WTP measure from the posterior </w:t>
      </w:r>
      <w:r w:rsidRPr="00802EC4">
        <w:rPr>
          <w:sz w:val="20"/>
          <w:szCs w:val="20"/>
        </w:rPr>
        <w:lastRenderedPageBreak/>
        <w:t>distribution of the parameters and calculate highest posterior density confidence regions from these simulations.</w:t>
      </w:r>
      <w:r>
        <w:rPr>
          <w:sz w:val="20"/>
          <w:szCs w:val="20"/>
        </w:rPr>
        <w:t xml:space="preserve"> </w:t>
      </w:r>
      <w:r w:rsidRPr="00802EC4">
        <w:rPr>
          <w:sz w:val="20"/>
          <w:szCs w:val="20"/>
        </w:rPr>
        <w:t xml:space="preserve">This Bayesian procedure is asymptotically equivalent to the “percentile” method of constructing bootstrap confidence regions, and repeating the </w:t>
      </w:r>
      <w:smartTag w:uri="urn:schemas-microsoft-com:office:smarttags" w:element="place">
        <w:r w:rsidRPr="00802EC4">
          <w:rPr>
            <w:sz w:val="20"/>
            <w:szCs w:val="20"/>
          </w:rPr>
          <w:t>Monte Carlo</w:t>
        </w:r>
      </w:smartTag>
      <w:r w:rsidRPr="00802EC4">
        <w:rPr>
          <w:sz w:val="20"/>
          <w:szCs w:val="20"/>
        </w:rPr>
        <w:t xml:space="preserve"> exercises in Hess and Daly (2009) shows that these bootstrap percentile intervals perform similarly to their intervals. I should also note that </w:t>
      </w:r>
      <w:proofErr w:type="spellStart"/>
      <w:r w:rsidRPr="00802EC4">
        <w:rPr>
          <w:sz w:val="20"/>
          <w:szCs w:val="20"/>
        </w:rPr>
        <w:t>Krinsky</w:t>
      </w:r>
      <w:proofErr w:type="spellEnd"/>
      <w:r w:rsidRPr="00802EC4">
        <w:rPr>
          <w:sz w:val="20"/>
          <w:szCs w:val="20"/>
        </w:rPr>
        <w:t xml:space="preserve"> and Rob</w:t>
      </w:r>
      <w:r w:rsidR="003155F5">
        <w:rPr>
          <w:sz w:val="20"/>
          <w:szCs w:val="20"/>
        </w:rPr>
        <w:t>b</w:t>
      </w:r>
      <w:r w:rsidRPr="00802EC4">
        <w:rPr>
          <w:sz w:val="20"/>
          <w:szCs w:val="20"/>
        </w:rPr>
        <w:t xml:space="preserve"> (1986) provide another accurate method for calculating confidence intervals for WTP measures.</w:t>
      </w:r>
    </w:p>
    <w:p w:rsidR="00AE3B29" w:rsidRPr="00802EC4" w:rsidRDefault="00AE3B29" w:rsidP="00AE3B29">
      <w:pPr>
        <w:jc w:val="both"/>
        <w:rPr>
          <w:sz w:val="20"/>
          <w:szCs w:val="20"/>
        </w:rPr>
      </w:pPr>
    </w:p>
    <w:p w:rsidR="00AE3B29" w:rsidRPr="00802EC4" w:rsidRDefault="00AE3B29" w:rsidP="00AE3B29">
      <w:pPr>
        <w:jc w:val="both"/>
        <w:rPr>
          <w:sz w:val="20"/>
          <w:szCs w:val="20"/>
        </w:rPr>
      </w:pPr>
      <w:r w:rsidRPr="00802EC4">
        <w:rPr>
          <w:sz w:val="20"/>
          <w:szCs w:val="20"/>
        </w:rPr>
        <w:t>Ten years ago I argued that we needed to be much more careful about giving confidence regions for all of our derived measures and forecasts.</w:t>
      </w:r>
      <w:r>
        <w:rPr>
          <w:sz w:val="20"/>
          <w:szCs w:val="20"/>
        </w:rPr>
        <w:t xml:space="preserve"> </w:t>
      </w:r>
      <w:r w:rsidRPr="00802EC4">
        <w:rPr>
          <w:sz w:val="20"/>
          <w:szCs w:val="20"/>
        </w:rPr>
        <w:t>The methods for computing these confidence regions are more widely available, but still not widely applied.</w:t>
      </w:r>
      <w:r>
        <w:rPr>
          <w:sz w:val="20"/>
          <w:szCs w:val="20"/>
        </w:rPr>
        <w:t xml:space="preserve"> </w:t>
      </w:r>
      <w:r w:rsidRPr="00802EC4">
        <w:rPr>
          <w:sz w:val="20"/>
          <w:szCs w:val="20"/>
        </w:rPr>
        <w:t>I suspect that the reason for this is that these intervals are probably embarrassingly wide.</w:t>
      </w:r>
      <w:r>
        <w:rPr>
          <w:sz w:val="20"/>
          <w:szCs w:val="20"/>
        </w:rPr>
        <w:t xml:space="preserve"> </w:t>
      </w:r>
      <w:r w:rsidRPr="00802EC4">
        <w:rPr>
          <w:sz w:val="20"/>
          <w:szCs w:val="20"/>
        </w:rPr>
        <w:t>If we calculate and publish more of these intervals then we will be forced to face the tradeoff between simpler (possibly biased) models and wide confidence regions.</w:t>
      </w:r>
      <w:r>
        <w:rPr>
          <w:sz w:val="20"/>
          <w:szCs w:val="20"/>
        </w:rPr>
        <w:t xml:space="preserve"> </w:t>
      </w:r>
    </w:p>
    <w:p w:rsidR="00AE3B29" w:rsidRPr="008F5B3E" w:rsidRDefault="00AE3B29" w:rsidP="00AE3B29">
      <w:pPr>
        <w:jc w:val="both"/>
        <w:rPr>
          <w:bCs/>
          <w:szCs w:val="20"/>
        </w:rPr>
      </w:pPr>
    </w:p>
    <w:p w:rsidR="00AE3B29" w:rsidRPr="008F5B3E" w:rsidRDefault="00AE3B29" w:rsidP="00AE3B29">
      <w:pPr>
        <w:jc w:val="both"/>
        <w:rPr>
          <w:bCs/>
          <w:szCs w:val="20"/>
        </w:rPr>
      </w:pPr>
    </w:p>
    <w:p w:rsidR="00AE3B29" w:rsidRDefault="00AE3B29" w:rsidP="00AE3B29">
      <w:pPr>
        <w:numPr>
          <w:ilvl w:val="0"/>
          <w:numId w:val="2"/>
        </w:numPr>
        <w:ind w:left="540" w:hanging="540"/>
        <w:rPr>
          <w:b/>
          <w:smallCaps/>
          <w:szCs w:val="22"/>
        </w:rPr>
      </w:pPr>
      <w:r>
        <w:rPr>
          <w:b/>
          <w:smallCaps/>
          <w:szCs w:val="22"/>
        </w:rPr>
        <w:t>Conclusion</w:t>
      </w:r>
    </w:p>
    <w:p w:rsidR="00AE3B29" w:rsidRPr="00A34869" w:rsidRDefault="00AE3B29" w:rsidP="00AE3B29">
      <w:pPr>
        <w:jc w:val="both"/>
        <w:rPr>
          <w:b/>
          <w:smallCaps/>
          <w:szCs w:val="22"/>
        </w:rPr>
      </w:pPr>
    </w:p>
    <w:p w:rsidR="00AE3B29" w:rsidRPr="00802EC4" w:rsidRDefault="00AE3B29" w:rsidP="00AE3B29">
      <w:pPr>
        <w:jc w:val="both"/>
        <w:rPr>
          <w:bCs/>
          <w:sz w:val="20"/>
          <w:szCs w:val="20"/>
        </w:rPr>
      </w:pPr>
      <w:r w:rsidRPr="00802EC4">
        <w:rPr>
          <w:bCs/>
          <w:sz w:val="20"/>
          <w:szCs w:val="20"/>
        </w:rPr>
        <w:t xml:space="preserve">Over the last ten years there have been many more applications of mixed </w:t>
      </w:r>
      <w:proofErr w:type="spellStart"/>
      <w:r w:rsidRPr="00802EC4">
        <w:rPr>
          <w:bCs/>
          <w:sz w:val="20"/>
          <w:szCs w:val="20"/>
        </w:rPr>
        <w:t>logit</w:t>
      </w:r>
      <w:proofErr w:type="spellEnd"/>
      <w:r w:rsidRPr="00802EC4">
        <w:rPr>
          <w:bCs/>
          <w:sz w:val="20"/>
          <w:szCs w:val="20"/>
        </w:rPr>
        <w:t>, and there have also been a number of papers pointing out problems with maximum simulated likelihood estimation of these models.</w:t>
      </w:r>
      <w:r>
        <w:rPr>
          <w:bCs/>
          <w:sz w:val="20"/>
          <w:szCs w:val="20"/>
        </w:rPr>
        <w:t xml:space="preserve"> </w:t>
      </w:r>
      <w:r w:rsidRPr="00802EC4">
        <w:rPr>
          <w:bCs/>
          <w:sz w:val="20"/>
          <w:szCs w:val="20"/>
        </w:rPr>
        <w:t>As these problems have become more evident there has been an explosion (albeit from a very small base!) of papers using Bayesian techniques to estimate these models.</w:t>
      </w:r>
      <w:r>
        <w:rPr>
          <w:bCs/>
          <w:sz w:val="20"/>
          <w:szCs w:val="20"/>
        </w:rPr>
        <w:t xml:space="preserve"> </w:t>
      </w:r>
      <w:r w:rsidRPr="00802EC4">
        <w:rPr>
          <w:bCs/>
          <w:sz w:val="20"/>
          <w:szCs w:val="20"/>
        </w:rPr>
        <w:t>Bhat and his co-authors have also developed very promising non-simulation estimators using copulas and composite marginal likelihood estimation.</w:t>
      </w:r>
    </w:p>
    <w:p w:rsidR="00AE3B29" w:rsidRPr="00802EC4" w:rsidRDefault="00AE3B29" w:rsidP="00AE3B29">
      <w:pPr>
        <w:jc w:val="both"/>
        <w:rPr>
          <w:bCs/>
          <w:sz w:val="20"/>
          <w:szCs w:val="20"/>
        </w:rPr>
      </w:pPr>
    </w:p>
    <w:p w:rsidR="00AE3B29" w:rsidRPr="00802EC4" w:rsidRDefault="00AE3B29" w:rsidP="00AE3B29">
      <w:pPr>
        <w:jc w:val="both"/>
        <w:rPr>
          <w:bCs/>
          <w:sz w:val="20"/>
          <w:szCs w:val="20"/>
        </w:rPr>
      </w:pPr>
      <w:r w:rsidRPr="00802EC4">
        <w:rPr>
          <w:bCs/>
          <w:sz w:val="20"/>
          <w:szCs w:val="20"/>
        </w:rPr>
        <w:t>However, almost all of the recent Bayesian applications have failed to take full advantage of the Bayesian approach to quantify problems caused by model uncertainty.</w:t>
      </w:r>
      <w:r>
        <w:rPr>
          <w:bCs/>
          <w:sz w:val="20"/>
          <w:szCs w:val="20"/>
        </w:rPr>
        <w:t xml:space="preserve"> </w:t>
      </w:r>
      <w:r w:rsidRPr="00802EC4">
        <w:rPr>
          <w:bCs/>
          <w:sz w:val="20"/>
          <w:szCs w:val="20"/>
        </w:rPr>
        <w:t>If this were done then I am quite certain that many of the more complex new models would not turn out to be much of an improvement over simpler approaches.</w:t>
      </w:r>
      <w:r>
        <w:rPr>
          <w:bCs/>
          <w:sz w:val="20"/>
          <w:szCs w:val="20"/>
        </w:rPr>
        <w:t xml:space="preserve"> </w:t>
      </w:r>
      <w:r w:rsidRPr="00802EC4">
        <w:rPr>
          <w:bCs/>
          <w:sz w:val="20"/>
          <w:szCs w:val="20"/>
        </w:rPr>
        <w:t>There have also been very few applications of multiple imputations (se</w:t>
      </w:r>
      <w:r>
        <w:rPr>
          <w:bCs/>
          <w:sz w:val="20"/>
          <w:szCs w:val="20"/>
        </w:rPr>
        <w:t xml:space="preserve">e </w:t>
      </w:r>
      <w:proofErr w:type="spellStart"/>
      <w:r>
        <w:rPr>
          <w:bCs/>
          <w:sz w:val="20"/>
          <w:szCs w:val="20"/>
        </w:rPr>
        <w:t>Steimetz</w:t>
      </w:r>
      <w:proofErr w:type="spellEnd"/>
      <w:r>
        <w:rPr>
          <w:bCs/>
          <w:sz w:val="20"/>
          <w:szCs w:val="20"/>
        </w:rPr>
        <w:t xml:space="preserve"> and Brownstone, 2005</w:t>
      </w:r>
      <w:r w:rsidRPr="00802EC4">
        <w:rPr>
          <w:bCs/>
          <w:sz w:val="20"/>
          <w:szCs w:val="20"/>
        </w:rPr>
        <w:t xml:space="preserve"> and Washington</w:t>
      </w:r>
      <w:r>
        <w:rPr>
          <w:bCs/>
          <w:sz w:val="20"/>
          <w:szCs w:val="20"/>
        </w:rPr>
        <w:t xml:space="preserve">, </w:t>
      </w:r>
      <w:r w:rsidRPr="00CB1749">
        <w:rPr>
          <w:bCs/>
          <w:i/>
          <w:sz w:val="20"/>
          <w:szCs w:val="20"/>
        </w:rPr>
        <w:t>et al</w:t>
      </w:r>
      <w:r w:rsidRPr="00802EC4">
        <w:rPr>
          <w:bCs/>
          <w:sz w:val="20"/>
          <w:szCs w:val="20"/>
        </w:rPr>
        <w:t>, 2009) even though there are many potential applications in transportation.</w:t>
      </w:r>
      <w:r>
        <w:rPr>
          <w:bCs/>
          <w:sz w:val="20"/>
          <w:szCs w:val="20"/>
        </w:rPr>
        <w:t xml:space="preserve"> </w:t>
      </w:r>
      <w:r w:rsidRPr="00802EC4">
        <w:rPr>
          <w:bCs/>
          <w:sz w:val="20"/>
          <w:szCs w:val="20"/>
        </w:rPr>
        <w:t>Hopefully these shortcomings will be addressed by the members of IATBR during the next ten years!</w:t>
      </w:r>
    </w:p>
    <w:p w:rsidR="00AE3B29" w:rsidRPr="008F5B3E" w:rsidRDefault="00AE3B29" w:rsidP="00AE3B29">
      <w:pPr>
        <w:jc w:val="both"/>
        <w:rPr>
          <w:b/>
          <w:smallCaps/>
          <w:szCs w:val="22"/>
        </w:rPr>
      </w:pPr>
    </w:p>
    <w:p w:rsidR="00AE3B29" w:rsidRDefault="00AE3B29" w:rsidP="00AE3B29">
      <w:pPr>
        <w:jc w:val="both"/>
        <w:rPr>
          <w:b/>
          <w:smallCaps/>
          <w:szCs w:val="22"/>
        </w:rPr>
      </w:pPr>
    </w:p>
    <w:p w:rsidR="00AE3B29" w:rsidRDefault="00AE3B29" w:rsidP="00AE3B29">
      <w:pPr>
        <w:rPr>
          <w:b/>
          <w:smallCaps/>
          <w:szCs w:val="22"/>
        </w:rPr>
      </w:pPr>
      <w:r w:rsidRPr="00802EC4">
        <w:rPr>
          <w:b/>
          <w:smallCaps/>
          <w:szCs w:val="22"/>
        </w:rPr>
        <w:t>Acknowledgement</w:t>
      </w:r>
    </w:p>
    <w:p w:rsidR="00AE3B29" w:rsidRDefault="00AE3B29" w:rsidP="00AE3B29">
      <w:pPr>
        <w:jc w:val="both"/>
        <w:rPr>
          <w:b/>
          <w:smallCaps/>
          <w:szCs w:val="22"/>
        </w:rPr>
      </w:pPr>
    </w:p>
    <w:p w:rsidR="00AE3B29" w:rsidRPr="00802EC4" w:rsidRDefault="00AE3B29" w:rsidP="00AE3B29">
      <w:pPr>
        <w:jc w:val="both"/>
        <w:rPr>
          <w:bCs/>
          <w:sz w:val="20"/>
          <w:szCs w:val="20"/>
        </w:rPr>
      </w:pPr>
      <w:r w:rsidRPr="00802EC4">
        <w:rPr>
          <w:bCs/>
          <w:sz w:val="20"/>
          <w:szCs w:val="20"/>
        </w:rPr>
        <w:t>Chandra Bhat, David Hensher, Stephane Hess, and Juan de Dios Ortúzar provided many useful suggestions and references.</w:t>
      </w:r>
      <w:r>
        <w:rPr>
          <w:bCs/>
          <w:sz w:val="20"/>
          <w:szCs w:val="20"/>
        </w:rPr>
        <w:t xml:space="preserve"> </w:t>
      </w:r>
      <w:r w:rsidRPr="00802EC4">
        <w:rPr>
          <w:bCs/>
          <w:sz w:val="20"/>
          <w:szCs w:val="20"/>
        </w:rPr>
        <w:t>Of course, none of these people are responsible for any of the errors or omissions in this paper.</w:t>
      </w:r>
      <w:r>
        <w:rPr>
          <w:bCs/>
          <w:sz w:val="20"/>
          <w:szCs w:val="20"/>
        </w:rPr>
        <w:t xml:space="preserve"> </w:t>
      </w:r>
      <w:r w:rsidRPr="00802EC4">
        <w:rPr>
          <w:bCs/>
          <w:sz w:val="20"/>
          <w:szCs w:val="20"/>
        </w:rPr>
        <w:t xml:space="preserve">Financial support was provided by the University </w:t>
      </w:r>
      <w:proofErr w:type="gramStart"/>
      <w:r w:rsidRPr="00802EC4">
        <w:rPr>
          <w:bCs/>
          <w:sz w:val="20"/>
          <w:szCs w:val="20"/>
        </w:rPr>
        <w:t>of</w:t>
      </w:r>
      <w:proofErr w:type="gramEnd"/>
      <w:r w:rsidRPr="00802EC4">
        <w:rPr>
          <w:bCs/>
          <w:sz w:val="20"/>
          <w:szCs w:val="20"/>
        </w:rPr>
        <w:t xml:space="preserve"> California Transportation Center.</w:t>
      </w:r>
    </w:p>
    <w:p w:rsidR="00802EC4" w:rsidRDefault="00802EC4" w:rsidP="000D3C82">
      <w:pPr>
        <w:jc w:val="both"/>
        <w:rPr>
          <w:b/>
          <w:smallCaps/>
          <w:szCs w:val="22"/>
        </w:rPr>
      </w:pPr>
    </w:p>
    <w:p w:rsidR="00802EC4" w:rsidRDefault="00802EC4" w:rsidP="000D3C82">
      <w:pPr>
        <w:jc w:val="both"/>
        <w:rPr>
          <w:b/>
          <w:smallCaps/>
          <w:szCs w:val="22"/>
        </w:rPr>
      </w:pPr>
    </w:p>
    <w:p w:rsidR="00AB1902" w:rsidRDefault="00AB1902" w:rsidP="000D3C82">
      <w:pPr>
        <w:jc w:val="both"/>
        <w:rPr>
          <w:b/>
          <w:smallCaps/>
          <w:szCs w:val="22"/>
        </w:rPr>
      </w:pPr>
    </w:p>
    <w:p w:rsidR="001E1686" w:rsidRPr="00691105" w:rsidRDefault="001E1686" w:rsidP="006D5FE2">
      <w:pPr>
        <w:rPr>
          <w:b/>
          <w:smallCaps/>
          <w:szCs w:val="22"/>
        </w:rPr>
      </w:pPr>
      <w:r w:rsidRPr="00691105">
        <w:rPr>
          <w:b/>
          <w:smallCaps/>
          <w:szCs w:val="22"/>
        </w:rPr>
        <w:lastRenderedPageBreak/>
        <w:t>References</w:t>
      </w:r>
    </w:p>
    <w:p w:rsidR="00691105" w:rsidRPr="00691105" w:rsidRDefault="00691105" w:rsidP="000D3C82">
      <w:pPr>
        <w:jc w:val="both"/>
        <w:rPr>
          <w:b/>
          <w:szCs w:val="22"/>
        </w:rPr>
      </w:pPr>
    </w:p>
    <w:p w:rsidR="00802EC4" w:rsidRPr="00802EC4" w:rsidRDefault="005D66FC" w:rsidP="000D3C82">
      <w:pPr>
        <w:ind w:left="360" w:hanging="360"/>
        <w:jc w:val="both"/>
        <w:rPr>
          <w:sz w:val="20"/>
          <w:szCs w:val="20"/>
        </w:rPr>
      </w:pPr>
      <w:proofErr w:type="gramStart"/>
      <w:r>
        <w:rPr>
          <w:sz w:val="20"/>
          <w:szCs w:val="20"/>
        </w:rPr>
        <w:t>Alvarez-Daziano, R. and</w:t>
      </w:r>
      <w:r w:rsidR="00802EC4" w:rsidRPr="00802EC4">
        <w:rPr>
          <w:sz w:val="20"/>
          <w:szCs w:val="20"/>
        </w:rPr>
        <w:t xml:space="preserve"> Bolduc</w:t>
      </w:r>
      <w:r w:rsidR="00A76A33">
        <w:rPr>
          <w:sz w:val="20"/>
          <w:szCs w:val="20"/>
        </w:rPr>
        <w:t>,</w:t>
      </w:r>
      <w:r w:rsidR="00A76A33" w:rsidRPr="00802EC4">
        <w:rPr>
          <w:sz w:val="20"/>
          <w:szCs w:val="20"/>
        </w:rPr>
        <w:t xml:space="preserve"> D.</w:t>
      </w:r>
      <w:r w:rsidR="00A76A33">
        <w:rPr>
          <w:sz w:val="20"/>
          <w:szCs w:val="20"/>
        </w:rPr>
        <w:t>, 2009</w:t>
      </w:r>
      <w:r w:rsidR="00802EC4" w:rsidRPr="00802EC4">
        <w:rPr>
          <w:sz w:val="20"/>
          <w:szCs w:val="20"/>
        </w:rPr>
        <w:t>.</w:t>
      </w:r>
      <w:proofErr w:type="gramEnd"/>
      <w:r w:rsidR="00802EC4" w:rsidRPr="00802EC4">
        <w:rPr>
          <w:sz w:val="20"/>
          <w:szCs w:val="20"/>
        </w:rPr>
        <w:t xml:space="preserve"> Canadian consumers’ perceptual and attitudinal responses toward green automobile technologies: an application of </w:t>
      </w:r>
      <w:r w:rsidR="00E120AE" w:rsidRPr="00802EC4">
        <w:rPr>
          <w:sz w:val="20"/>
          <w:szCs w:val="20"/>
        </w:rPr>
        <w:t>hybrid choice models</w:t>
      </w:r>
      <w:r w:rsidR="00802EC4" w:rsidRPr="00802EC4">
        <w:rPr>
          <w:sz w:val="20"/>
          <w:szCs w:val="20"/>
        </w:rPr>
        <w:t>.</w:t>
      </w:r>
      <w:r w:rsidR="007C436E">
        <w:rPr>
          <w:sz w:val="20"/>
          <w:szCs w:val="20"/>
        </w:rPr>
        <w:t xml:space="preserve"> </w:t>
      </w:r>
      <w:r w:rsidR="00E120AE">
        <w:rPr>
          <w:sz w:val="20"/>
          <w:szCs w:val="20"/>
        </w:rPr>
        <w:t>[</w:t>
      </w:r>
      <w:proofErr w:type="spellStart"/>
      <w:proofErr w:type="gramStart"/>
      <w:r w:rsidR="00E120AE">
        <w:rPr>
          <w:sz w:val="20"/>
          <w:szCs w:val="20"/>
        </w:rPr>
        <w:t>pdf</w:t>
      </w:r>
      <w:proofErr w:type="spellEnd"/>
      <w:proofErr w:type="gramEnd"/>
      <w:r w:rsidR="00E120AE">
        <w:rPr>
          <w:sz w:val="20"/>
          <w:szCs w:val="20"/>
        </w:rPr>
        <w:t>]</w:t>
      </w:r>
      <w:r w:rsidR="00802EC4" w:rsidRPr="00802EC4">
        <w:rPr>
          <w:sz w:val="20"/>
          <w:szCs w:val="20"/>
        </w:rPr>
        <w:t xml:space="preserve"> </w:t>
      </w:r>
      <w:r w:rsidR="00E120AE">
        <w:rPr>
          <w:sz w:val="20"/>
          <w:szCs w:val="20"/>
        </w:rPr>
        <w:t>Available</w:t>
      </w:r>
      <w:r w:rsidR="00802EC4" w:rsidRPr="00802EC4">
        <w:rPr>
          <w:sz w:val="20"/>
          <w:szCs w:val="20"/>
        </w:rPr>
        <w:t xml:space="preserve"> at</w:t>
      </w:r>
      <w:r w:rsidR="00E120AE">
        <w:rPr>
          <w:sz w:val="20"/>
          <w:szCs w:val="20"/>
        </w:rPr>
        <w:t>:</w:t>
      </w:r>
      <w:r w:rsidR="00863995">
        <w:rPr>
          <w:sz w:val="20"/>
          <w:szCs w:val="20"/>
        </w:rPr>
        <w:t xml:space="preserve"> </w:t>
      </w:r>
      <w:r w:rsidR="00E120AE">
        <w:rPr>
          <w:sz w:val="20"/>
          <w:szCs w:val="20"/>
        </w:rPr>
        <w:t>&lt;</w:t>
      </w:r>
      <w:r w:rsidR="00802EC4" w:rsidRPr="00802EC4">
        <w:rPr>
          <w:sz w:val="20"/>
          <w:szCs w:val="20"/>
        </w:rPr>
        <w:t>http://www.feem-web.it/ess/files/alvarez-daziano.pdf</w:t>
      </w:r>
      <w:r w:rsidR="00E120AE">
        <w:rPr>
          <w:sz w:val="20"/>
          <w:szCs w:val="20"/>
        </w:rPr>
        <w:t>&gt;</w:t>
      </w:r>
      <w:r w:rsidR="00802EC4" w:rsidRPr="00802EC4">
        <w:rPr>
          <w:sz w:val="20"/>
          <w:szCs w:val="20"/>
        </w:rPr>
        <w:t xml:space="preserve"> </w:t>
      </w:r>
      <w:r w:rsidR="00E120AE">
        <w:rPr>
          <w:sz w:val="20"/>
          <w:szCs w:val="20"/>
        </w:rPr>
        <w:t xml:space="preserve">[Accessed 14 </w:t>
      </w:r>
      <w:r w:rsidR="00802EC4" w:rsidRPr="00802EC4">
        <w:rPr>
          <w:sz w:val="20"/>
          <w:szCs w:val="20"/>
        </w:rPr>
        <w:t>December 2009</w:t>
      </w:r>
      <w:r w:rsidR="00E120AE">
        <w:rPr>
          <w:sz w:val="20"/>
          <w:szCs w:val="20"/>
        </w:rPr>
        <w:t>]</w:t>
      </w:r>
      <w:r w:rsidR="00802EC4" w:rsidRPr="00802EC4">
        <w:rPr>
          <w:sz w:val="20"/>
          <w:szCs w:val="20"/>
        </w:rPr>
        <w:t>.</w:t>
      </w:r>
    </w:p>
    <w:p w:rsidR="00802EC4" w:rsidRPr="00802EC4" w:rsidRDefault="00802EC4" w:rsidP="000D3C82">
      <w:pPr>
        <w:ind w:left="360" w:hanging="360"/>
        <w:jc w:val="both"/>
        <w:rPr>
          <w:sz w:val="20"/>
          <w:szCs w:val="20"/>
        </w:rPr>
      </w:pPr>
      <w:proofErr w:type="gramStart"/>
      <w:r w:rsidRPr="00802EC4">
        <w:rPr>
          <w:sz w:val="20"/>
          <w:szCs w:val="20"/>
        </w:rPr>
        <w:t xml:space="preserve">Bento, A.M., </w:t>
      </w:r>
      <w:proofErr w:type="spellStart"/>
      <w:r w:rsidRPr="00802EC4">
        <w:rPr>
          <w:sz w:val="20"/>
          <w:szCs w:val="20"/>
        </w:rPr>
        <w:t>Goulder</w:t>
      </w:r>
      <w:proofErr w:type="spellEnd"/>
      <w:r w:rsidRPr="00802EC4">
        <w:rPr>
          <w:sz w:val="20"/>
          <w:szCs w:val="20"/>
        </w:rPr>
        <w:t>,</w:t>
      </w:r>
      <w:r w:rsidR="002F5DFA">
        <w:rPr>
          <w:sz w:val="20"/>
          <w:szCs w:val="20"/>
        </w:rPr>
        <w:t xml:space="preserve"> L.M.,</w:t>
      </w:r>
      <w:r w:rsidRPr="00802EC4">
        <w:rPr>
          <w:sz w:val="20"/>
          <w:szCs w:val="20"/>
        </w:rPr>
        <w:t xml:space="preserve"> Jacobsen,</w:t>
      </w:r>
      <w:r w:rsidR="002F5DFA">
        <w:rPr>
          <w:sz w:val="20"/>
          <w:szCs w:val="20"/>
        </w:rPr>
        <w:t xml:space="preserve"> M.R.</w:t>
      </w:r>
      <w:r w:rsidRPr="00802EC4">
        <w:rPr>
          <w:sz w:val="20"/>
          <w:szCs w:val="20"/>
        </w:rPr>
        <w:t xml:space="preserve"> and von </w:t>
      </w:r>
      <w:proofErr w:type="spellStart"/>
      <w:r w:rsidRPr="00802EC4">
        <w:rPr>
          <w:sz w:val="20"/>
          <w:szCs w:val="20"/>
        </w:rPr>
        <w:t>Haefen</w:t>
      </w:r>
      <w:proofErr w:type="spellEnd"/>
      <w:r w:rsidR="002F5DFA">
        <w:rPr>
          <w:sz w:val="20"/>
          <w:szCs w:val="20"/>
        </w:rPr>
        <w:t>, R.</w:t>
      </w:r>
      <w:r w:rsidR="002F5DFA" w:rsidRPr="00802EC4">
        <w:rPr>
          <w:sz w:val="20"/>
          <w:szCs w:val="20"/>
        </w:rPr>
        <w:t>H.</w:t>
      </w:r>
      <w:r w:rsidR="002F5DFA">
        <w:rPr>
          <w:sz w:val="20"/>
          <w:szCs w:val="20"/>
        </w:rPr>
        <w:t>, 2009</w:t>
      </w:r>
      <w:r w:rsidRPr="00802EC4">
        <w:rPr>
          <w:sz w:val="20"/>
          <w:szCs w:val="20"/>
        </w:rPr>
        <w:t>.</w:t>
      </w:r>
      <w:proofErr w:type="gramEnd"/>
      <w:r w:rsidR="00863995">
        <w:rPr>
          <w:sz w:val="20"/>
          <w:szCs w:val="20"/>
        </w:rPr>
        <w:t xml:space="preserve"> </w:t>
      </w:r>
      <w:proofErr w:type="gramStart"/>
      <w:r w:rsidR="002F5DFA">
        <w:rPr>
          <w:sz w:val="20"/>
          <w:szCs w:val="20"/>
        </w:rPr>
        <w:t>D</w:t>
      </w:r>
      <w:r w:rsidR="002F5DFA" w:rsidRPr="00802EC4">
        <w:rPr>
          <w:sz w:val="20"/>
          <w:szCs w:val="20"/>
        </w:rPr>
        <w:t>istributional and efficiency impacts of increased US gasoline taxes</w:t>
      </w:r>
      <w:r w:rsidRPr="00802EC4">
        <w:rPr>
          <w:sz w:val="20"/>
          <w:szCs w:val="20"/>
        </w:rPr>
        <w:t>.</w:t>
      </w:r>
      <w:proofErr w:type="gramEnd"/>
      <w:r w:rsidRPr="00802EC4">
        <w:rPr>
          <w:sz w:val="20"/>
          <w:szCs w:val="20"/>
        </w:rPr>
        <w:t xml:space="preserve"> </w:t>
      </w:r>
      <w:proofErr w:type="gramStart"/>
      <w:r w:rsidRPr="002F5DFA">
        <w:rPr>
          <w:i/>
          <w:sz w:val="20"/>
          <w:szCs w:val="20"/>
        </w:rPr>
        <w:t>American Economic Review</w:t>
      </w:r>
      <w:r w:rsidR="002F5DFA">
        <w:rPr>
          <w:sz w:val="20"/>
          <w:szCs w:val="20"/>
        </w:rPr>
        <w:t>, 99(</w:t>
      </w:r>
      <w:r w:rsidRPr="00802EC4">
        <w:rPr>
          <w:sz w:val="20"/>
          <w:szCs w:val="20"/>
        </w:rPr>
        <w:t>3</w:t>
      </w:r>
      <w:r w:rsidR="002F5DFA">
        <w:rPr>
          <w:sz w:val="20"/>
          <w:szCs w:val="20"/>
        </w:rPr>
        <w:t>)</w:t>
      </w:r>
      <w:r w:rsidRPr="00802EC4">
        <w:rPr>
          <w:sz w:val="20"/>
          <w:szCs w:val="20"/>
        </w:rPr>
        <w:t xml:space="preserve">, </w:t>
      </w:r>
      <w:r w:rsidR="002F5DFA">
        <w:rPr>
          <w:sz w:val="20"/>
          <w:szCs w:val="20"/>
        </w:rPr>
        <w:t>pp.</w:t>
      </w:r>
      <w:r w:rsidRPr="00802EC4">
        <w:rPr>
          <w:sz w:val="20"/>
          <w:szCs w:val="20"/>
        </w:rPr>
        <w:t>667</w:t>
      </w:r>
      <w:r w:rsidR="002F5DFA">
        <w:rPr>
          <w:sz w:val="20"/>
          <w:szCs w:val="20"/>
        </w:rPr>
        <w:t>-</w:t>
      </w:r>
      <w:r w:rsidRPr="00802EC4">
        <w:rPr>
          <w:sz w:val="20"/>
          <w:szCs w:val="20"/>
        </w:rPr>
        <w:t>699.</w:t>
      </w:r>
      <w:proofErr w:type="gramEnd"/>
    </w:p>
    <w:p w:rsidR="00802EC4" w:rsidRPr="00802EC4" w:rsidRDefault="00802EC4" w:rsidP="000D3C82">
      <w:pPr>
        <w:ind w:left="360" w:hanging="360"/>
        <w:jc w:val="both"/>
        <w:rPr>
          <w:sz w:val="20"/>
          <w:szCs w:val="20"/>
        </w:rPr>
      </w:pPr>
      <w:r w:rsidRPr="00802EC4">
        <w:rPr>
          <w:sz w:val="20"/>
          <w:szCs w:val="20"/>
        </w:rPr>
        <w:t>Bhat, C.R.</w:t>
      </w:r>
      <w:r w:rsidR="00C406AC">
        <w:rPr>
          <w:sz w:val="20"/>
          <w:szCs w:val="20"/>
        </w:rPr>
        <w:t>, 2005.</w:t>
      </w:r>
      <w:r w:rsidRPr="00802EC4">
        <w:rPr>
          <w:sz w:val="20"/>
          <w:szCs w:val="20"/>
        </w:rPr>
        <w:t xml:space="preserve"> A </w:t>
      </w:r>
      <w:r w:rsidR="00C406AC" w:rsidRPr="00802EC4">
        <w:rPr>
          <w:sz w:val="20"/>
          <w:szCs w:val="20"/>
        </w:rPr>
        <w:t>multiple discrete-continuous extreme value model: formulation and application to discretionary time-use decisions</w:t>
      </w:r>
      <w:r w:rsidRPr="00802EC4">
        <w:rPr>
          <w:sz w:val="20"/>
          <w:szCs w:val="20"/>
        </w:rPr>
        <w:t xml:space="preserve">. </w:t>
      </w:r>
      <w:proofErr w:type="gramStart"/>
      <w:r w:rsidRPr="00802EC4">
        <w:rPr>
          <w:i/>
          <w:sz w:val="20"/>
          <w:szCs w:val="20"/>
        </w:rPr>
        <w:t>Transportation Research</w:t>
      </w:r>
      <w:r w:rsidR="00C406AC">
        <w:rPr>
          <w:i/>
          <w:sz w:val="20"/>
          <w:szCs w:val="20"/>
        </w:rPr>
        <w:t xml:space="preserve"> Part </w:t>
      </w:r>
      <w:r w:rsidRPr="00802EC4">
        <w:rPr>
          <w:i/>
          <w:sz w:val="20"/>
          <w:szCs w:val="20"/>
        </w:rPr>
        <w:t>B</w:t>
      </w:r>
      <w:r w:rsidRPr="00802EC4">
        <w:rPr>
          <w:sz w:val="20"/>
          <w:szCs w:val="20"/>
        </w:rPr>
        <w:t>, 39(8)</w:t>
      </w:r>
      <w:r w:rsidR="00C406AC">
        <w:rPr>
          <w:sz w:val="20"/>
          <w:szCs w:val="20"/>
        </w:rPr>
        <w:t>,</w:t>
      </w:r>
      <w:r w:rsidRPr="00802EC4">
        <w:rPr>
          <w:sz w:val="20"/>
          <w:szCs w:val="20"/>
        </w:rPr>
        <w:t xml:space="preserve"> </w:t>
      </w:r>
      <w:r w:rsidR="00C406AC">
        <w:rPr>
          <w:sz w:val="20"/>
          <w:szCs w:val="20"/>
        </w:rPr>
        <w:t>pp.</w:t>
      </w:r>
      <w:r w:rsidRPr="00802EC4">
        <w:rPr>
          <w:sz w:val="20"/>
          <w:szCs w:val="20"/>
        </w:rPr>
        <w:t>679-707.</w:t>
      </w:r>
      <w:proofErr w:type="gramEnd"/>
    </w:p>
    <w:p w:rsidR="00802EC4" w:rsidRPr="00802EC4" w:rsidRDefault="00802EC4" w:rsidP="000D3C82">
      <w:pPr>
        <w:ind w:left="360" w:hanging="360"/>
        <w:jc w:val="both"/>
        <w:rPr>
          <w:sz w:val="20"/>
          <w:szCs w:val="20"/>
        </w:rPr>
      </w:pPr>
      <w:r w:rsidRPr="00802EC4">
        <w:rPr>
          <w:sz w:val="20"/>
          <w:szCs w:val="20"/>
        </w:rPr>
        <w:t>Bhat, C.R.</w:t>
      </w:r>
      <w:r w:rsidR="00C406AC">
        <w:rPr>
          <w:sz w:val="20"/>
          <w:szCs w:val="20"/>
        </w:rPr>
        <w:t>, 2008.</w:t>
      </w:r>
      <w:r w:rsidRPr="00802EC4">
        <w:rPr>
          <w:sz w:val="20"/>
          <w:szCs w:val="20"/>
        </w:rPr>
        <w:t xml:space="preserve"> The </w:t>
      </w:r>
      <w:r w:rsidR="00C406AC" w:rsidRPr="00802EC4">
        <w:rPr>
          <w:sz w:val="20"/>
          <w:szCs w:val="20"/>
        </w:rPr>
        <w:t>multiple discrete-continuous extreme value (</w:t>
      </w:r>
      <w:r w:rsidR="007C436E" w:rsidRPr="00802EC4">
        <w:rPr>
          <w:sz w:val="20"/>
          <w:szCs w:val="20"/>
        </w:rPr>
        <w:t>MDCEV</w:t>
      </w:r>
      <w:r w:rsidR="00C406AC" w:rsidRPr="00802EC4">
        <w:rPr>
          <w:sz w:val="20"/>
          <w:szCs w:val="20"/>
        </w:rPr>
        <w:t xml:space="preserve">) </w:t>
      </w:r>
      <w:proofErr w:type="gramStart"/>
      <w:r w:rsidR="00C406AC" w:rsidRPr="00802EC4">
        <w:rPr>
          <w:sz w:val="20"/>
          <w:szCs w:val="20"/>
        </w:rPr>
        <w:t>model</w:t>
      </w:r>
      <w:proofErr w:type="gramEnd"/>
      <w:r w:rsidR="00C406AC" w:rsidRPr="00802EC4">
        <w:rPr>
          <w:sz w:val="20"/>
          <w:szCs w:val="20"/>
        </w:rPr>
        <w:t>: role of utility function parameters, identification considerations, and model extensions</w:t>
      </w:r>
      <w:r w:rsidRPr="00802EC4">
        <w:rPr>
          <w:sz w:val="20"/>
          <w:szCs w:val="20"/>
        </w:rPr>
        <w:t xml:space="preserve">. </w:t>
      </w:r>
      <w:proofErr w:type="gramStart"/>
      <w:r w:rsidRPr="00802EC4">
        <w:rPr>
          <w:i/>
          <w:sz w:val="20"/>
          <w:szCs w:val="20"/>
        </w:rPr>
        <w:t>Transportation Research</w:t>
      </w:r>
      <w:r w:rsidR="00C406AC">
        <w:rPr>
          <w:i/>
          <w:sz w:val="20"/>
          <w:szCs w:val="20"/>
        </w:rPr>
        <w:t xml:space="preserve"> Part </w:t>
      </w:r>
      <w:r w:rsidRPr="00802EC4">
        <w:rPr>
          <w:i/>
          <w:sz w:val="20"/>
          <w:szCs w:val="20"/>
        </w:rPr>
        <w:t>B</w:t>
      </w:r>
      <w:r w:rsidRPr="00802EC4">
        <w:rPr>
          <w:sz w:val="20"/>
          <w:szCs w:val="20"/>
        </w:rPr>
        <w:t xml:space="preserve">, 42(3), </w:t>
      </w:r>
      <w:r w:rsidR="00C406AC">
        <w:rPr>
          <w:sz w:val="20"/>
          <w:szCs w:val="20"/>
        </w:rPr>
        <w:t>pp.</w:t>
      </w:r>
      <w:r w:rsidRPr="00802EC4">
        <w:rPr>
          <w:sz w:val="20"/>
          <w:szCs w:val="20"/>
        </w:rPr>
        <w:t>274-303.</w:t>
      </w:r>
      <w:proofErr w:type="gramEnd"/>
    </w:p>
    <w:p w:rsidR="00802EC4" w:rsidRPr="00802EC4" w:rsidRDefault="00C406AC" w:rsidP="000D3C82">
      <w:pPr>
        <w:ind w:left="360" w:hanging="360"/>
        <w:jc w:val="both"/>
        <w:rPr>
          <w:sz w:val="20"/>
          <w:szCs w:val="20"/>
        </w:rPr>
      </w:pPr>
      <w:r>
        <w:rPr>
          <w:sz w:val="20"/>
          <w:szCs w:val="20"/>
        </w:rPr>
        <w:t>Bhat, C.R.</w:t>
      </w:r>
      <w:r w:rsidR="00B30387">
        <w:rPr>
          <w:sz w:val="20"/>
          <w:szCs w:val="20"/>
        </w:rPr>
        <w:t>, 2011</w:t>
      </w:r>
      <w:r>
        <w:rPr>
          <w:sz w:val="20"/>
          <w:szCs w:val="20"/>
        </w:rPr>
        <w:t xml:space="preserve">. </w:t>
      </w:r>
      <w:proofErr w:type="gramStart"/>
      <w:r w:rsidR="00802EC4" w:rsidRPr="00802EC4">
        <w:rPr>
          <w:sz w:val="20"/>
          <w:szCs w:val="20"/>
        </w:rPr>
        <w:t xml:space="preserve">The </w:t>
      </w:r>
      <w:r w:rsidRPr="00802EC4">
        <w:rPr>
          <w:sz w:val="20"/>
          <w:szCs w:val="20"/>
        </w:rPr>
        <w:t>maximum approximate composite marginal likelihood</w:t>
      </w:r>
      <w:r w:rsidR="00802EC4" w:rsidRPr="00802EC4">
        <w:rPr>
          <w:sz w:val="20"/>
          <w:szCs w:val="20"/>
        </w:rPr>
        <w:t xml:space="preserve"> (MACML) </w:t>
      </w:r>
      <w:r w:rsidR="00B30387" w:rsidRPr="00802EC4">
        <w:rPr>
          <w:sz w:val="20"/>
          <w:szCs w:val="20"/>
        </w:rPr>
        <w:t xml:space="preserve">estimation of multinomial </w:t>
      </w:r>
      <w:proofErr w:type="spellStart"/>
      <w:r w:rsidR="00B30387" w:rsidRPr="00802EC4">
        <w:rPr>
          <w:sz w:val="20"/>
          <w:szCs w:val="20"/>
        </w:rPr>
        <w:t>probit</w:t>
      </w:r>
      <w:proofErr w:type="spellEnd"/>
      <w:r w:rsidR="00B30387" w:rsidRPr="00802EC4">
        <w:rPr>
          <w:sz w:val="20"/>
          <w:szCs w:val="20"/>
        </w:rPr>
        <w:t>-based un</w:t>
      </w:r>
      <w:r w:rsidR="00B30387">
        <w:rPr>
          <w:sz w:val="20"/>
          <w:szCs w:val="20"/>
        </w:rPr>
        <w:t>ordered response choice models</w:t>
      </w:r>
      <w:r>
        <w:rPr>
          <w:sz w:val="20"/>
          <w:szCs w:val="20"/>
        </w:rPr>
        <w:t>.</w:t>
      </w:r>
      <w:proofErr w:type="gramEnd"/>
      <w:r w:rsidR="00802EC4" w:rsidRPr="00802EC4">
        <w:rPr>
          <w:sz w:val="20"/>
          <w:szCs w:val="20"/>
        </w:rPr>
        <w:t xml:space="preserve"> </w:t>
      </w:r>
      <w:proofErr w:type="gramStart"/>
      <w:r w:rsidR="00802EC4" w:rsidRPr="00C406AC">
        <w:rPr>
          <w:i/>
          <w:sz w:val="20"/>
          <w:szCs w:val="20"/>
        </w:rPr>
        <w:t>Transportation Research Part B</w:t>
      </w:r>
      <w:r w:rsidR="00B30387">
        <w:rPr>
          <w:sz w:val="20"/>
          <w:szCs w:val="20"/>
        </w:rPr>
        <w:t>,</w:t>
      </w:r>
      <w:r w:rsidR="00B30387" w:rsidRPr="00B30387">
        <w:t xml:space="preserve"> </w:t>
      </w:r>
      <w:r w:rsidR="00B30387" w:rsidRPr="00B30387">
        <w:rPr>
          <w:sz w:val="20"/>
          <w:szCs w:val="20"/>
        </w:rPr>
        <w:t xml:space="preserve">45(7), </w:t>
      </w:r>
      <w:r w:rsidR="00B30387">
        <w:rPr>
          <w:sz w:val="20"/>
          <w:szCs w:val="20"/>
        </w:rPr>
        <w:t>pp.</w:t>
      </w:r>
      <w:r w:rsidR="00B30387" w:rsidRPr="00B30387">
        <w:rPr>
          <w:sz w:val="20"/>
          <w:szCs w:val="20"/>
        </w:rPr>
        <w:t>923-939</w:t>
      </w:r>
      <w:r w:rsidR="00802EC4" w:rsidRPr="00802EC4">
        <w:rPr>
          <w:sz w:val="20"/>
          <w:szCs w:val="20"/>
        </w:rPr>
        <w:t>.</w:t>
      </w:r>
      <w:proofErr w:type="gramEnd"/>
    </w:p>
    <w:p w:rsidR="00802EC4" w:rsidRPr="00802EC4" w:rsidRDefault="00802EC4" w:rsidP="000D3C82">
      <w:pPr>
        <w:ind w:left="360" w:hanging="360"/>
        <w:jc w:val="both"/>
        <w:rPr>
          <w:sz w:val="20"/>
          <w:szCs w:val="20"/>
        </w:rPr>
      </w:pPr>
      <w:r w:rsidRPr="00802EC4">
        <w:rPr>
          <w:sz w:val="20"/>
          <w:szCs w:val="20"/>
        </w:rPr>
        <w:t xml:space="preserve">Bhat, C.R., </w:t>
      </w:r>
      <w:proofErr w:type="spellStart"/>
      <w:r w:rsidRPr="00802EC4">
        <w:rPr>
          <w:sz w:val="20"/>
          <w:szCs w:val="20"/>
        </w:rPr>
        <w:t>Varin</w:t>
      </w:r>
      <w:proofErr w:type="spellEnd"/>
      <w:r w:rsidRPr="00802EC4">
        <w:rPr>
          <w:sz w:val="20"/>
          <w:szCs w:val="20"/>
        </w:rPr>
        <w:t>,</w:t>
      </w:r>
      <w:r w:rsidR="00B30387" w:rsidRPr="00802EC4">
        <w:rPr>
          <w:sz w:val="20"/>
          <w:szCs w:val="20"/>
        </w:rPr>
        <w:t xml:space="preserve"> C.</w:t>
      </w:r>
      <w:r w:rsidRPr="00802EC4">
        <w:rPr>
          <w:sz w:val="20"/>
          <w:szCs w:val="20"/>
        </w:rPr>
        <w:t xml:space="preserve"> and Ferdous</w:t>
      </w:r>
      <w:r w:rsidR="00B30387">
        <w:rPr>
          <w:sz w:val="20"/>
          <w:szCs w:val="20"/>
        </w:rPr>
        <w:t>,</w:t>
      </w:r>
      <w:r w:rsidR="00B30387" w:rsidRPr="00802EC4">
        <w:rPr>
          <w:sz w:val="20"/>
          <w:szCs w:val="20"/>
        </w:rPr>
        <w:t xml:space="preserve"> N.</w:t>
      </w:r>
      <w:r w:rsidR="00B30387">
        <w:rPr>
          <w:sz w:val="20"/>
          <w:szCs w:val="20"/>
        </w:rPr>
        <w:t xml:space="preserve">, </w:t>
      </w:r>
      <w:r w:rsidRPr="00802EC4">
        <w:rPr>
          <w:sz w:val="20"/>
          <w:szCs w:val="20"/>
        </w:rPr>
        <w:t>2010</w:t>
      </w:r>
      <w:r w:rsidR="00C406AC">
        <w:rPr>
          <w:sz w:val="20"/>
          <w:szCs w:val="20"/>
        </w:rPr>
        <w:t>a</w:t>
      </w:r>
      <w:r w:rsidR="00B30387">
        <w:rPr>
          <w:sz w:val="20"/>
          <w:szCs w:val="20"/>
        </w:rPr>
        <w:t xml:space="preserve">. </w:t>
      </w:r>
      <w:r w:rsidRPr="00802EC4">
        <w:rPr>
          <w:sz w:val="20"/>
          <w:szCs w:val="20"/>
        </w:rPr>
        <w:t xml:space="preserve">A </w:t>
      </w:r>
      <w:r w:rsidR="00053E09" w:rsidRPr="00802EC4">
        <w:rPr>
          <w:sz w:val="20"/>
          <w:szCs w:val="20"/>
        </w:rPr>
        <w:t>comparison of the maximum simulated likelihood and composite marginal likelihood estimation approaches in the context of the multi</w:t>
      </w:r>
      <w:r w:rsidR="00053E09">
        <w:rPr>
          <w:sz w:val="20"/>
          <w:szCs w:val="20"/>
        </w:rPr>
        <w:t>variate ordered response model</w:t>
      </w:r>
      <w:r w:rsidR="00B30387">
        <w:rPr>
          <w:sz w:val="20"/>
          <w:szCs w:val="20"/>
        </w:rPr>
        <w:t>.</w:t>
      </w:r>
      <w:r w:rsidRPr="00802EC4">
        <w:rPr>
          <w:sz w:val="20"/>
          <w:szCs w:val="20"/>
        </w:rPr>
        <w:t xml:space="preserve"> </w:t>
      </w:r>
      <w:r w:rsidR="00B30387">
        <w:rPr>
          <w:sz w:val="20"/>
          <w:szCs w:val="20"/>
        </w:rPr>
        <w:t xml:space="preserve">In: </w:t>
      </w:r>
      <w:r w:rsidR="00053E09" w:rsidRPr="00802EC4">
        <w:rPr>
          <w:sz w:val="20"/>
          <w:szCs w:val="20"/>
        </w:rPr>
        <w:t>W.</w:t>
      </w:r>
      <w:r w:rsidR="00053E09">
        <w:rPr>
          <w:sz w:val="20"/>
          <w:szCs w:val="20"/>
        </w:rPr>
        <w:t>H.</w:t>
      </w:r>
      <w:r w:rsidR="00053E09" w:rsidRPr="00802EC4">
        <w:rPr>
          <w:sz w:val="20"/>
          <w:szCs w:val="20"/>
        </w:rPr>
        <w:t xml:space="preserve"> Greene and R.C. Hill</w:t>
      </w:r>
      <w:r w:rsidR="00053E09">
        <w:rPr>
          <w:sz w:val="20"/>
          <w:szCs w:val="20"/>
        </w:rPr>
        <w:t>, eds.</w:t>
      </w:r>
      <w:r w:rsidR="00053E09" w:rsidRPr="00053E09">
        <w:rPr>
          <w:sz w:val="20"/>
          <w:szCs w:val="20"/>
        </w:rPr>
        <w:t xml:space="preserve"> </w:t>
      </w:r>
      <w:r w:rsidR="00053E09" w:rsidRPr="00053E09">
        <w:rPr>
          <w:i/>
          <w:sz w:val="20"/>
          <w:szCs w:val="20"/>
        </w:rPr>
        <w:t>Advances in Econometrics, Vol. 26: Maximum Simulated Likelihood Methods and Applications</w:t>
      </w:r>
      <w:r w:rsidR="00053E09">
        <w:rPr>
          <w:sz w:val="20"/>
          <w:szCs w:val="20"/>
        </w:rPr>
        <w:t xml:space="preserve">. </w:t>
      </w:r>
      <w:r w:rsidR="00053E09" w:rsidRPr="00053E09">
        <w:rPr>
          <w:sz w:val="20"/>
          <w:szCs w:val="20"/>
        </w:rPr>
        <w:t>Bingley</w:t>
      </w:r>
      <w:r w:rsidR="00053E09">
        <w:rPr>
          <w:sz w:val="20"/>
          <w:szCs w:val="20"/>
        </w:rPr>
        <w:t>:</w:t>
      </w:r>
      <w:r w:rsidR="00053E09" w:rsidRPr="00053E09">
        <w:rPr>
          <w:sz w:val="20"/>
          <w:szCs w:val="20"/>
        </w:rPr>
        <w:t xml:space="preserve"> </w:t>
      </w:r>
      <w:r w:rsidRPr="00802EC4">
        <w:rPr>
          <w:sz w:val="20"/>
          <w:szCs w:val="20"/>
        </w:rPr>
        <w:t>Emerald Group Publishing Limited</w:t>
      </w:r>
      <w:r w:rsidR="00053E09">
        <w:rPr>
          <w:sz w:val="20"/>
          <w:szCs w:val="20"/>
        </w:rPr>
        <w:t>, pp.65-106</w:t>
      </w:r>
      <w:r w:rsidRPr="00802EC4">
        <w:rPr>
          <w:sz w:val="20"/>
          <w:szCs w:val="20"/>
        </w:rPr>
        <w:t xml:space="preserve">. </w:t>
      </w:r>
    </w:p>
    <w:p w:rsidR="00802EC4" w:rsidRPr="00802EC4" w:rsidRDefault="00802EC4" w:rsidP="000D3C82">
      <w:pPr>
        <w:ind w:left="360" w:hanging="360"/>
        <w:jc w:val="both"/>
        <w:rPr>
          <w:sz w:val="20"/>
          <w:szCs w:val="20"/>
        </w:rPr>
      </w:pPr>
      <w:r w:rsidRPr="00802EC4">
        <w:rPr>
          <w:sz w:val="20"/>
          <w:szCs w:val="20"/>
        </w:rPr>
        <w:t>Bhat, C.R., Sener,</w:t>
      </w:r>
      <w:r w:rsidR="00053E09" w:rsidRPr="00802EC4">
        <w:rPr>
          <w:sz w:val="20"/>
          <w:szCs w:val="20"/>
        </w:rPr>
        <w:t xml:space="preserve"> I.N.</w:t>
      </w:r>
      <w:r w:rsidRPr="00802EC4">
        <w:rPr>
          <w:sz w:val="20"/>
          <w:szCs w:val="20"/>
        </w:rPr>
        <w:t xml:space="preserve"> and Eluru</w:t>
      </w:r>
      <w:r w:rsidR="00053E09">
        <w:rPr>
          <w:sz w:val="20"/>
          <w:szCs w:val="20"/>
        </w:rPr>
        <w:t>,</w:t>
      </w:r>
      <w:r w:rsidR="00053E09" w:rsidRPr="00802EC4">
        <w:rPr>
          <w:sz w:val="20"/>
          <w:szCs w:val="20"/>
        </w:rPr>
        <w:t xml:space="preserve"> N.</w:t>
      </w:r>
      <w:r w:rsidR="00053E09">
        <w:rPr>
          <w:sz w:val="20"/>
          <w:szCs w:val="20"/>
        </w:rPr>
        <w:t xml:space="preserve">, </w:t>
      </w:r>
      <w:r w:rsidRPr="00802EC4">
        <w:rPr>
          <w:sz w:val="20"/>
          <w:szCs w:val="20"/>
        </w:rPr>
        <w:t>2010</w:t>
      </w:r>
      <w:r w:rsidR="00C406AC">
        <w:rPr>
          <w:sz w:val="20"/>
          <w:szCs w:val="20"/>
        </w:rPr>
        <w:t>b</w:t>
      </w:r>
      <w:r w:rsidR="00053E09">
        <w:rPr>
          <w:sz w:val="20"/>
          <w:szCs w:val="20"/>
        </w:rPr>
        <w:t>. A</w:t>
      </w:r>
      <w:r w:rsidR="00053E09" w:rsidRPr="00802EC4">
        <w:rPr>
          <w:sz w:val="20"/>
          <w:szCs w:val="20"/>
        </w:rPr>
        <w:t xml:space="preserve"> flexible spatially dependent discrete choice model: formulation and application to teenagers’ weekday recre</w:t>
      </w:r>
      <w:r w:rsidR="00053E09">
        <w:rPr>
          <w:sz w:val="20"/>
          <w:szCs w:val="20"/>
        </w:rPr>
        <w:t>ational activity participation.</w:t>
      </w:r>
      <w:r w:rsidRPr="00802EC4">
        <w:rPr>
          <w:sz w:val="20"/>
          <w:szCs w:val="20"/>
        </w:rPr>
        <w:t xml:space="preserve"> </w:t>
      </w:r>
      <w:proofErr w:type="gramStart"/>
      <w:r w:rsidRPr="00053E09">
        <w:rPr>
          <w:i/>
          <w:sz w:val="20"/>
          <w:szCs w:val="20"/>
        </w:rPr>
        <w:t>Transportation Research Part B</w:t>
      </w:r>
      <w:r w:rsidR="00053E09">
        <w:rPr>
          <w:sz w:val="20"/>
          <w:szCs w:val="20"/>
        </w:rPr>
        <w:t>, 44(</w:t>
      </w:r>
      <w:r w:rsidRPr="00802EC4">
        <w:rPr>
          <w:sz w:val="20"/>
          <w:szCs w:val="20"/>
        </w:rPr>
        <w:t>8-9</w:t>
      </w:r>
      <w:r w:rsidR="00053E09">
        <w:rPr>
          <w:sz w:val="20"/>
          <w:szCs w:val="20"/>
        </w:rPr>
        <w:t>), pp.</w:t>
      </w:r>
      <w:r w:rsidRPr="00802EC4">
        <w:rPr>
          <w:sz w:val="20"/>
          <w:szCs w:val="20"/>
        </w:rPr>
        <w:t>903-921.</w:t>
      </w:r>
      <w:proofErr w:type="gramEnd"/>
    </w:p>
    <w:p w:rsidR="00802EC4" w:rsidRPr="00802EC4" w:rsidRDefault="00053E09" w:rsidP="000D3C82">
      <w:pPr>
        <w:ind w:left="360" w:hanging="360"/>
        <w:jc w:val="both"/>
        <w:rPr>
          <w:sz w:val="20"/>
          <w:szCs w:val="20"/>
        </w:rPr>
      </w:pPr>
      <w:r>
        <w:rPr>
          <w:sz w:val="20"/>
          <w:szCs w:val="20"/>
        </w:rPr>
        <w:t>Bhat, C.R.</w:t>
      </w:r>
      <w:r w:rsidR="00802EC4" w:rsidRPr="00802EC4">
        <w:rPr>
          <w:sz w:val="20"/>
          <w:szCs w:val="20"/>
        </w:rPr>
        <w:t xml:space="preserve"> and Sidharthan</w:t>
      </w:r>
      <w:r>
        <w:rPr>
          <w:sz w:val="20"/>
          <w:szCs w:val="20"/>
        </w:rPr>
        <w:t xml:space="preserve">, R., 2011. </w:t>
      </w:r>
      <w:r w:rsidR="00802EC4" w:rsidRPr="00802EC4">
        <w:rPr>
          <w:sz w:val="20"/>
          <w:szCs w:val="20"/>
        </w:rPr>
        <w:t xml:space="preserve">A </w:t>
      </w:r>
      <w:r w:rsidR="00996A39" w:rsidRPr="00802EC4">
        <w:rPr>
          <w:sz w:val="20"/>
          <w:szCs w:val="20"/>
        </w:rPr>
        <w:t>simulation evaluation of the maximum approximate composite marginal likelihood</w:t>
      </w:r>
      <w:r w:rsidR="00802EC4" w:rsidRPr="00802EC4">
        <w:rPr>
          <w:sz w:val="20"/>
          <w:szCs w:val="20"/>
        </w:rPr>
        <w:t xml:space="preserve"> (MACML) </w:t>
      </w:r>
      <w:r w:rsidR="00996A39" w:rsidRPr="00802EC4">
        <w:rPr>
          <w:sz w:val="20"/>
          <w:szCs w:val="20"/>
        </w:rPr>
        <w:t>estimator for m</w:t>
      </w:r>
      <w:r w:rsidR="00996A39">
        <w:rPr>
          <w:sz w:val="20"/>
          <w:szCs w:val="20"/>
        </w:rPr>
        <w:t xml:space="preserve">ixed multinomial </w:t>
      </w:r>
      <w:proofErr w:type="spellStart"/>
      <w:r w:rsidR="00996A39">
        <w:rPr>
          <w:sz w:val="20"/>
          <w:szCs w:val="20"/>
        </w:rPr>
        <w:t>probit</w:t>
      </w:r>
      <w:proofErr w:type="spellEnd"/>
      <w:r w:rsidR="00996A39">
        <w:rPr>
          <w:sz w:val="20"/>
          <w:szCs w:val="20"/>
        </w:rPr>
        <w:t xml:space="preserve"> models.</w:t>
      </w:r>
      <w:r w:rsidR="00802EC4" w:rsidRPr="00802EC4">
        <w:rPr>
          <w:sz w:val="20"/>
          <w:szCs w:val="20"/>
        </w:rPr>
        <w:t xml:space="preserve"> </w:t>
      </w:r>
      <w:proofErr w:type="gramStart"/>
      <w:r w:rsidR="00802EC4" w:rsidRPr="00996A39">
        <w:rPr>
          <w:i/>
          <w:sz w:val="20"/>
          <w:szCs w:val="20"/>
        </w:rPr>
        <w:t>Transportation Research Part B</w:t>
      </w:r>
      <w:r w:rsidR="00996A39">
        <w:rPr>
          <w:sz w:val="20"/>
          <w:szCs w:val="20"/>
        </w:rPr>
        <w:t>, 45(7), pp.940-953.</w:t>
      </w:r>
      <w:proofErr w:type="gramEnd"/>
    </w:p>
    <w:p w:rsidR="00802EC4" w:rsidRPr="00802EC4" w:rsidRDefault="00802EC4" w:rsidP="000D3C82">
      <w:pPr>
        <w:ind w:left="360" w:hanging="360"/>
        <w:jc w:val="both"/>
        <w:rPr>
          <w:sz w:val="20"/>
          <w:szCs w:val="20"/>
        </w:rPr>
      </w:pPr>
      <w:proofErr w:type="gramStart"/>
      <w:r w:rsidRPr="00802EC4">
        <w:rPr>
          <w:sz w:val="20"/>
          <w:szCs w:val="20"/>
        </w:rPr>
        <w:t>Brownstone, D.</w:t>
      </w:r>
      <w:r w:rsidR="00DF4722">
        <w:rPr>
          <w:sz w:val="20"/>
          <w:szCs w:val="20"/>
        </w:rPr>
        <w:t>, 2001</w:t>
      </w:r>
      <w:r w:rsidRPr="00802EC4">
        <w:rPr>
          <w:sz w:val="20"/>
          <w:szCs w:val="20"/>
        </w:rPr>
        <w:t>.</w:t>
      </w:r>
      <w:proofErr w:type="gramEnd"/>
      <w:r w:rsidRPr="00802EC4">
        <w:rPr>
          <w:sz w:val="20"/>
          <w:szCs w:val="20"/>
        </w:rPr>
        <w:t xml:space="preserve"> </w:t>
      </w:r>
      <w:proofErr w:type="gramStart"/>
      <w:r w:rsidRPr="00802EC4">
        <w:rPr>
          <w:sz w:val="20"/>
          <w:szCs w:val="20"/>
        </w:rPr>
        <w:t>Discrete Choice Modeling for Transportation.</w:t>
      </w:r>
      <w:proofErr w:type="gramEnd"/>
      <w:r w:rsidRPr="00802EC4">
        <w:rPr>
          <w:sz w:val="20"/>
          <w:szCs w:val="20"/>
        </w:rPr>
        <w:t xml:space="preserve"> </w:t>
      </w:r>
      <w:r w:rsidR="00DF4722">
        <w:rPr>
          <w:sz w:val="20"/>
          <w:szCs w:val="20"/>
        </w:rPr>
        <w:t>I</w:t>
      </w:r>
      <w:r w:rsidRPr="00802EC4">
        <w:rPr>
          <w:sz w:val="20"/>
          <w:szCs w:val="20"/>
        </w:rPr>
        <w:t>n</w:t>
      </w:r>
      <w:r w:rsidR="00DF4722">
        <w:rPr>
          <w:sz w:val="20"/>
          <w:szCs w:val="20"/>
        </w:rPr>
        <w:t>: D.A. Hensher, ed.</w:t>
      </w:r>
      <w:r w:rsidRPr="00802EC4">
        <w:rPr>
          <w:sz w:val="20"/>
          <w:szCs w:val="20"/>
        </w:rPr>
        <w:t xml:space="preserve"> </w:t>
      </w:r>
      <w:r w:rsidRPr="00DF4722">
        <w:rPr>
          <w:i/>
          <w:sz w:val="20"/>
          <w:szCs w:val="20"/>
        </w:rPr>
        <w:t xml:space="preserve">Travel </w:t>
      </w:r>
      <w:proofErr w:type="spellStart"/>
      <w:r w:rsidRPr="00DF4722">
        <w:rPr>
          <w:i/>
          <w:sz w:val="20"/>
          <w:szCs w:val="20"/>
        </w:rPr>
        <w:t>Behaviour</w:t>
      </w:r>
      <w:proofErr w:type="spellEnd"/>
      <w:r w:rsidRPr="00DF4722">
        <w:rPr>
          <w:i/>
          <w:sz w:val="20"/>
          <w:szCs w:val="20"/>
        </w:rPr>
        <w:t xml:space="preserve"> Research: The Leading Edge</w:t>
      </w:r>
      <w:r w:rsidRPr="00802EC4">
        <w:rPr>
          <w:sz w:val="20"/>
          <w:szCs w:val="20"/>
        </w:rPr>
        <w:t xml:space="preserve">. </w:t>
      </w:r>
      <w:smartTag w:uri="urn:schemas-microsoft-com:office:smarttags" w:element="place">
        <w:smartTag w:uri="urn:schemas-microsoft-com:office:smarttags" w:element="City">
          <w:r w:rsidRPr="00802EC4">
            <w:rPr>
              <w:sz w:val="20"/>
              <w:szCs w:val="20"/>
            </w:rPr>
            <w:t>Amsterdam</w:t>
          </w:r>
        </w:smartTag>
      </w:smartTag>
      <w:r w:rsidR="00DF4722">
        <w:rPr>
          <w:sz w:val="20"/>
          <w:szCs w:val="20"/>
        </w:rPr>
        <w:t xml:space="preserve">: </w:t>
      </w:r>
      <w:proofErr w:type="spellStart"/>
      <w:r w:rsidR="00DF4722">
        <w:rPr>
          <w:sz w:val="20"/>
          <w:szCs w:val="20"/>
        </w:rPr>
        <w:t>Pergamon</w:t>
      </w:r>
      <w:proofErr w:type="spellEnd"/>
      <w:r w:rsidR="00DF4722">
        <w:rPr>
          <w:sz w:val="20"/>
          <w:szCs w:val="20"/>
        </w:rPr>
        <w:t>, pp.</w:t>
      </w:r>
      <w:r w:rsidRPr="00802EC4">
        <w:rPr>
          <w:sz w:val="20"/>
          <w:szCs w:val="20"/>
        </w:rPr>
        <w:t xml:space="preserve">97-124. </w:t>
      </w:r>
    </w:p>
    <w:p w:rsidR="00802EC4" w:rsidRPr="00802EC4" w:rsidRDefault="00802EC4" w:rsidP="000D3C82">
      <w:pPr>
        <w:ind w:left="360" w:hanging="360"/>
        <w:jc w:val="both"/>
        <w:rPr>
          <w:sz w:val="20"/>
          <w:szCs w:val="20"/>
        </w:rPr>
      </w:pPr>
      <w:proofErr w:type="gramStart"/>
      <w:r w:rsidRPr="00802EC4">
        <w:rPr>
          <w:sz w:val="20"/>
          <w:szCs w:val="20"/>
        </w:rPr>
        <w:t>Brownstone, D. and Small</w:t>
      </w:r>
      <w:r w:rsidR="00F36E9B">
        <w:rPr>
          <w:sz w:val="20"/>
          <w:szCs w:val="20"/>
        </w:rPr>
        <w:t>,</w:t>
      </w:r>
      <w:r w:rsidR="00F36E9B" w:rsidRPr="00F36E9B">
        <w:rPr>
          <w:sz w:val="20"/>
          <w:szCs w:val="20"/>
        </w:rPr>
        <w:t xml:space="preserve"> </w:t>
      </w:r>
      <w:r w:rsidR="00F36E9B">
        <w:rPr>
          <w:sz w:val="20"/>
          <w:szCs w:val="20"/>
        </w:rPr>
        <w:t>K.A., 2005</w:t>
      </w:r>
      <w:r w:rsidRPr="00802EC4">
        <w:rPr>
          <w:sz w:val="20"/>
          <w:szCs w:val="20"/>
        </w:rPr>
        <w:t>.</w:t>
      </w:r>
      <w:proofErr w:type="gramEnd"/>
      <w:r w:rsidRPr="00802EC4">
        <w:rPr>
          <w:sz w:val="20"/>
          <w:szCs w:val="20"/>
        </w:rPr>
        <w:t xml:space="preserve"> Valuing </w:t>
      </w:r>
      <w:r w:rsidR="00F36E9B" w:rsidRPr="00802EC4">
        <w:rPr>
          <w:sz w:val="20"/>
          <w:szCs w:val="20"/>
        </w:rPr>
        <w:t>time and reliability: assessing the evidence from road pricing demonstrations</w:t>
      </w:r>
      <w:r w:rsidRPr="00802EC4">
        <w:rPr>
          <w:sz w:val="20"/>
          <w:szCs w:val="20"/>
        </w:rPr>
        <w:t xml:space="preserve">. </w:t>
      </w:r>
      <w:r w:rsidRPr="00F36E9B">
        <w:rPr>
          <w:i/>
          <w:sz w:val="20"/>
          <w:szCs w:val="20"/>
        </w:rPr>
        <w:t xml:space="preserve">Transportation Research </w:t>
      </w:r>
      <w:r w:rsidR="00F36E9B" w:rsidRPr="00F36E9B">
        <w:rPr>
          <w:i/>
          <w:sz w:val="20"/>
          <w:szCs w:val="20"/>
        </w:rPr>
        <w:t xml:space="preserve">Part </w:t>
      </w:r>
      <w:proofErr w:type="gramStart"/>
      <w:r w:rsidRPr="00F36E9B">
        <w:rPr>
          <w:i/>
          <w:sz w:val="20"/>
          <w:szCs w:val="20"/>
        </w:rPr>
        <w:t>A</w:t>
      </w:r>
      <w:proofErr w:type="gramEnd"/>
      <w:r w:rsidRPr="00802EC4">
        <w:rPr>
          <w:sz w:val="20"/>
          <w:szCs w:val="20"/>
        </w:rPr>
        <w:t>, 39</w:t>
      </w:r>
      <w:r w:rsidR="00F36E9B">
        <w:rPr>
          <w:sz w:val="20"/>
          <w:szCs w:val="20"/>
        </w:rPr>
        <w:t>(4)</w:t>
      </w:r>
      <w:r w:rsidRPr="00802EC4">
        <w:rPr>
          <w:sz w:val="20"/>
          <w:szCs w:val="20"/>
        </w:rPr>
        <w:t xml:space="preserve">, </w:t>
      </w:r>
      <w:r w:rsidR="00F36E9B">
        <w:rPr>
          <w:sz w:val="20"/>
          <w:szCs w:val="20"/>
        </w:rPr>
        <w:t>pp.</w:t>
      </w:r>
      <w:r w:rsidRPr="00802EC4">
        <w:rPr>
          <w:sz w:val="20"/>
          <w:szCs w:val="20"/>
        </w:rPr>
        <w:t>279-29.</w:t>
      </w:r>
    </w:p>
    <w:p w:rsidR="00802EC4" w:rsidRDefault="00F36E9B" w:rsidP="000D3C82">
      <w:pPr>
        <w:ind w:left="360" w:hanging="360"/>
        <w:jc w:val="both"/>
        <w:rPr>
          <w:iCs/>
          <w:sz w:val="20"/>
          <w:szCs w:val="20"/>
          <w:lang w:val="en-GB"/>
        </w:rPr>
      </w:pPr>
      <w:proofErr w:type="gramStart"/>
      <w:r>
        <w:rPr>
          <w:sz w:val="20"/>
          <w:szCs w:val="20"/>
        </w:rPr>
        <w:t>Brownstone, D. and</w:t>
      </w:r>
      <w:r w:rsidR="00802EC4" w:rsidRPr="00802EC4">
        <w:rPr>
          <w:sz w:val="20"/>
          <w:szCs w:val="20"/>
        </w:rPr>
        <w:t xml:space="preserve"> Fang</w:t>
      </w:r>
      <w:r>
        <w:rPr>
          <w:sz w:val="20"/>
          <w:szCs w:val="20"/>
        </w:rPr>
        <w:t>, H.</w:t>
      </w:r>
      <w:r w:rsidRPr="00802EC4">
        <w:rPr>
          <w:sz w:val="20"/>
          <w:szCs w:val="20"/>
        </w:rPr>
        <w:t>A.</w:t>
      </w:r>
      <w:r>
        <w:rPr>
          <w:sz w:val="20"/>
          <w:szCs w:val="20"/>
        </w:rPr>
        <w:t>, 2009</w:t>
      </w:r>
      <w:r w:rsidR="00802EC4" w:rsidRPr="00802EC4">
        <w:rPr>
          <w:sz w:val="20"/>
          <w:szCs w:val="20"/>
        </w:rPr>
        <w:t>.</w:t>
      </w:r>
      <w:proofErr w:type="gramEnd"/>
      <w:r w:rsidR="00863995">
        <w:rPr>
          <w:sz w:val="20"/>
          <w:szCs w:val="20"/>
        </w:rPr>
        <w:t xml:space="preserve"> </w:t>
      </w:r>
      <w:proofErr w:type="gramStart"/>
      <w:r w:rsidR="00802EC4" w:rsidRPr="00802EC4">
        <w:rPr>
          <w:sz w:val="20"/>
          <w:szCs w:val="20"/>
        </w:rPr>
        <w:t xml:space="preserve">A </w:t>
      </w:r>
      <w:r w:rsidRPr="00802EC4">
        <w:rPr>
          <w:sz w:val="20"/>
          <w:szCs w:val="20"/>
        </w:rPr>
        <w:t>vehicle ownership and utilization choice model with endogenous residential density</w:t>
      </w:r>
      <w:r w:rsidR="00802EC4" w:rsidRPr="00802EC4">
        <w:rPr>
          <w:sz w:val="20"/>
          <w:szCs w:val="20"/>
        </w:rPr>
        <w:t>.</w:t>
      </w:r>
      <w:proofErr w:type="gramEnd"/>
      <w:r w:rsidR="00802EC4" w:rsidRPr="00802EC4">
        <w:rPr>
          <w:sz w:val="20"/>
          <w:szCs w:val="20"/>
        </w:rPr>
        <w:t xml:space="preserve"> </w:t>
      </w:r>
      <w:r>
        <w:rPr>
          <w:sz w:val="20"/>
          <w:szCs w:val="20"/>
        </w:rPr>
        <w:t xml:space="preserve">In: </w:t>
      </w:r>
      <w:r w:rsidRPr="00695D45">
        <w:rPr>
          <w:i/>
          <w:sz w:val="20"/>
          <w:szCs w:val="20"/>
        </w:rPr>
        <w:t>88</w:t>
      </w:r>
      <w:r w:rsidRPr="00695D45">
        <w:rPr>
          <w:i/>
          <w:sz w:val="20"/>
          <w:szCs w:val="20"/>
          <w:vertAlign w:val="superscript"/>
        </w:rPr>
        <w:t>th</w:t>
      </w:r>
      <w:r w:rsidRPr="00695D45">
        <w:rPr>
          <w:i/>
          <w:sz w:val="20"/>
          <w:szCs w:val="20"/>
        </w:rPr>
        <w:t xml:space="preserve"> </w:t>
      </w:r>
      <w:r w:rsidRPr="00A64D71">
        <w:rPr>
          <w:i/>
          <w:sz w:val="20"/>
          <w:szCs w:val="20"/>
          <w:lang w:val="en-GB"/>
        </w:rPr>
        <w:t>Annual Meeting of the Transportation Research Board</w:t>
      </w:r>
      <w:r w:rsidRPr="00A64D71">
        <w:rPr>
          <w:sz w:val="20"/>
          <w:szCs w:val="20"/>
          <w:lang w:val="en-GB"/>
        </w:rPr>
        <w:t xml:space="preserve">. </w:t>
      </w:r>
      <w:r w:rsidRPr="00A64D71">
        <w:rPr>
          <w:iCs/>
          <w:sz w:val="20"/>
          <w:szCs w:val="20"/>
          <w:lang w:val="en-GB"/>
        </w:rPr>
        <w:t>Washington, DC</w:t>
      </w:r>
      <w:r>
        <w:rPr>
          <w:iCs/>
          <w:sz w:val="20"/>
          <w:szCs w:val="20"/>
          <w:lang w:val="en-GB"/>
        </w:rPr>
        <w:t>, USA, 11-15 January 2009.</w:t>
      </w:r>
    </w:p>
    <w:p w:rsidR="00025EC1" w:rsidRPr="00802EC4" w:rsidRDefault="00025EC1" w:rsidP="00025EC1">
      <w:pPr>
        <w:ind w:left="360" w:hanging="360"/>
        <w:jc w:val="both"/>
        <w:rPr>
          <w:bCs/>
          <w:sz w:val="20"/>
          <w:szCs w:val="20"/>
        </w:rPr>
      </w:pPr>
      <w:proofErr w:type="spellStart"/>
      <w:proofErr w:type="gramStart"/>
      <w:r w:rsidRPr="00802EC4">
        <w:rPr>
          <w:bCs/>
          <w:sz w:val="20"/>
          <w:szCs w:val="20"/>
        </w:rPr>
        <w:t>Chib</w:t>
      </w:r>
      <w:proofErr w:type="spellEnd"/>
      <w:r>
        <w:rPr>
          <w:bCs/>
          <w:sz w:val="20"/>
          <w:szCs w:val="20"/>
        </w:rPr>
        <w:t>,</w:t>
      </w:r>
      <w:r w:rsidRPr="00802EC4">
        <w:rPr>
          <w:bCs/>
          <w:sz w:val="20"/>
          <w:szCs w:val="20"/>
        </w:rPr>
        <w:t xml:space="preserve"> S.</w:t>
      </w:r>
      <w:r>
        <w:rPr>
          <w:bCs/>
          <w:sz w:val="20"/>
          <w:szCs w:val="20"/>
        </w:rPr>
        <w:t xml:space="preserve"> </w:t>
      </w:r>
      <w:r w:rsidRPr="00802EC4">
        <w:rPr>
          <w:bCs/>
          <w:sz w:val="20"/>
          <w:szCs w:val="20"/>
        </w:rPr>
        <w:t xml:space="preserve">and </w:t>
      </w:r>
      <w:proofErr w:type="spellStart"/>
      <w:r w:rsidRPr="00802EC4">
        <w:rPr>
          <w:bCs/>
          <w:sz w:val="20"/>
          <w:szCs w:val="20"/>
        </w:rPr>
        <w:t>Jeliazkov</w:t>
      </w:r>
      <w:proofErr w:type="spellEnd"/>
      <w:r w:rsidRPr="00802EC4">
        <w:rPr>
          <w:bCs/>
          <w:sz w:val="20"/>
          <w:szCs w:val="20"/>
        </w:rPr>
        <w:t>, I.</w:t>
      </w:r>
      <w:r>
        <w:rPr>
          <w:bCs/>
          <w:sz w:val="20"/>
          <w:szCs w:val="20"/>
        </w:rPr>
        <w:t>, 2005</w:t>
      </w:r>
      <w:r w:rsidRPr="00802EC4">
        <w:rPr>
          <w:bCs/>
          <w:sz w:val="20"/>
          <w:szCs w:val="20"/>
        </w:rPr>
        <w:t>.</w:t>
      </w:r>
      <w:proofErr w:type="gramEnd"/>
      <w:r w:rsidRPr="00802EC4">
        <w:rPr>
          <w:bCs/>
          <w:sz w:val="20"/>
          <w:szCs w:val="20"/>
        </w:rPr>
        <w:t xml:space="preserve"> </w:t>
      </w:r>
      <w:proofErr w:type="gramStart"/>
      <w:r w:rsidRPr="00802EC4">
        <w:rPr>
          <w:bCs/>
          <w:sz w:val="20"/>
          <w:szCs w:val="20"/>
        </w:rPr>
        <w:t>Accept-</w:t>
      </w:r>
      <w:r>
        <w:rPr>
          <w:bCs/>
          <w:sz w:val="20"/>
          <w:szCs w:val="20"/>
        </w:rPr>
        <w:t>r</w:t>
      </w:r>
      <w:r w:rsidRPr="00802EC4">
        <w:rPr>
          <w:bCs/>
          <w:sz w:val="20"/>
          <w:szCs w:val="20"/>
        </w:rPr>
        <w:t xml:space="preserve">eject Metropolis-Hastings </w:t>
      </w:r>
      <w:r>
        <w:rPr>
          <w:bCs/>
          <w:sz w:val="20"/>
          <w:szCs w:val="20"/>
        </w:rPr>
        <w:t>s</w:t>
      </w:r>
      <w:r w:rsidRPr="00802EC4">
        <w:rPr>
          <w:bCs/>
          <w:sz w:val="20"/>
          <w:szCs w:val="20"/>
        </w:rPr>
        <w:t xml:space="preserve">ampling and </w:t>
      </w:r>
      <w:r>
        <w:rPr>
          <w:bCs/>
          <w:sz w:val="20"/>
          <w:szCs w:val="20"/>
        </w:rPr>
        <w:t>m</w:t>
      </w:r>
      <w:r w:rsidRPr="00802EC4">
        <w:rPr>
          <w:bCs/>
          <w:sz w:val="20"/>
          <w:szCs w:val="20"/>
        </w:rPr>
        <w:t xml:space="preserve">arginal </w:t>
      </w:r>
      <w:proofErr w:type="spellStart"/>
      <w:r>
        <w:rPr>
          <w:bCs/>
          <w:sz w:val="20"/>
          <w:szCs w:val="20"/>
        </w:rPr>
        <w:t>m</w:t>
      </w:r>
      <w:r w:rsidRPr="00802EC4">
        <w:rPr>
          <w:bCs/>
          <w:sz w:val="20"/>
          <w:szCs w:val="20"/>
        </w:rPr>
        <w:t>ikelihood</w:t>
      </w:r>
      <w:proofErr w:type="spellEnd"/>
      <w:r w:rsidRPr="00802EC4">
        <w:rPr>
          <w:bCs/>
          <w:sz w:val="20"/>
          <w:szCs w:val="20"/>
        </w:rPr>
        <w:t xml:space="preserve"> </w:t>
      </w:r>
      <w:r>
        <w:rPr>
          <w:bCs/>
          <w:sz w:val="20"/>
          <w:szCs w:val="20"/>
        </w:rPr>
        <w:t>estimation.</w:t>
      </w:r>
      <w:proofErr w:type="gramEnd"/>
      <w:r>
        <w:rPr>
          <w:bCs/>
          <w:sz w:val="20"/>
          <w:szCs w:val="20"/>
        </w:rPr>
        <w:t xml:space="preserve"> </w:t>
      </w:r>
      <w:proofErr w:type="spellStart"/>
      <w:proofErr w:type="gramStart"/>
      <w:r w:rsidRPr="004D560A">
        <w:rPr>
          <w:bCs/>
          <w:i/>
          <w:sz w:val="20"/>
          <w:szCs w:val="20"/>
        </w:rPr>
        <w:t>Statistica</w:t>
      </w:r>
      <w:proofErr w:type="spellEnd"/>
      <w:r w:rsidRPr="004D560A">
        <w:rPr>
          <w:bCs/>
          <w:i/>
          <w:sz w:val="20"/>
          <w:szCs w:val="20"/>
        </w:rPr>
        <w:t xml:space="preserve"> </w:t>
      </w:r>
      <w:proofErr w:type="spellStart"/>
      <w:r w:rsidRPr="004D560A">
        <w:rPr>
          <w:bCs/>
          <w:i/>
          <w:sz w:val="20"/>
          <w:szCs w:val="20"/>
        </w:rPr>
        <w:t>Neerlandica</w:t>
      </w:r>
      <w:proofErr w:type="spellEnd"/>
      <w:r w:rsidRPr="00802EC4">
        <w:rPr>
          <w:bCs/>
          <w:sz w:val="20"/>
          <w:szCs w:val="20"/>
        </w:rPr>
        <w:t>, 59</w:t>
      </w:r>
      <w:r>
        <w:rPr>
          <w:bCs/>
          <w:sz w:val="20"/>
          <w:szCs w:val="20"/>
        </w:rPr>
        <w:t>(1)</w:t>
      </w:r>
      <w:r w:rsidRPr="00802EC4">
        <w:rPr>
          <w:bCs/>
          <w:sz w:val="20"/>
          <w:szCs w:val="20"/>
        </w:rPr>
        <w:t xml:space="preserve">, </w:t>
      </w:r>
      <w:r>
        <w:rPr>
          <w:bCs/>
          <w:sz w:val="20"/>
          <w:szCs w:val="20"/>
        </w:rPr>
        <w:t>pp.</w:t>
      </w:r>
      <w:r w:rsidRPr="00802EC4">
        <w:rPr>
          <w:bCs/>
          <w:sz w:val="20"/>
          <w:szCs w:val="20"/>
        </w:rPr>
        <w:t>30-44.</w:t>
      </w:r>
      <w:proofErr w:type="gramEnd"/>
    </w:p>
    <w:p w:rsidR="00802EC4" w:rsidRPr="00802EC4" w:rsidRDefault="00802EC4" w:rsidP="000D3C82">
      <w:pPr>
        <w:ind w:left="360" w:hanging="360"/>
        <w:jc w:val="both"/>
        <w:rPr>
          <w:sz w:val="20"/>
          <w:szCs w:val="20"/>
        </w:rPr>
      </w:pPr>
      <w:proofErr w:type="spellStart"/>
      <w:r w:rsidRPr="00802EC4">
        <w:rPr>
          <w:sz w:val="20"/>
          <w:szCs w:val="20"/>
        </w:rPr>
        <w:t>Chiou</w:t>
      </w:r>
      <w:proofErr w:type="spellEnd"/>
      <w:r w:rsidRPr="00802EC4">
        <w:rPr>
          <w:sz w:val="20"/>
          <w:szCs w:val="20"/>
        </w:rPr>
        <w:t>, L. and Walker</w:t>
      </w:r>
      <w:r w:rsidR="00695D45">
        <w:rPr>
          <w:sz w:val="20"/>
          <w:szCs w:val="20"/>
        </w:rPr>
        <w:t>,</w:t>
      </w:r>
      <w:r w:rsidR="00695D45" w:rsidRPr="00802EC4">
        <w:rPr>
          <w:sz w:val="20"/>
          <w:szCs w:val="20"/>
        </w:rPr>
        <w:t xml:space="preserve"> J.L.</w:t>
      </w:r>
      <w:r w:rsidR="00695D45">
        <w:rPr>
          <w:sz w:val="20"/>
          <w:szCs w:val="20"/>
        </w:rPr>
        <w:t>, 2007</w:t>
      </w:r>
      <w:r w:rsidRPr="00802EC4">
        <w:rPr>
          <w:sz w:val="20"/>
          <w:szCs w:val="20"/>
        </w:rPr>
        <w:t>.</w:t>
      </w:r>
      <w:r w:rsidR="00863995">
        <w:rPr>
          <w:sz w:val="20"/>
          <w:szCs w:val="20"/>
        </w:rPr>
        <w:t xml:space="preserve"> </w:t>
      </w:r>
      <w:proofErr w:type="gramStart"/>
      <w:r w:rsidRPr="00802EC4">
        <w:rPr>
          <w:sz w:val="20"/>
          <w:szCs w:val="20"/>
        </w:rPr>
        <w:t>Masking identification of discrete choice models under simulation methods</w:t>
      </w:r>
      <w:r w:rsidR="00695D45" w:rsidRPr="00695D45">
        <w:rPr>
          <w:sz w:val="20"/>
          <w:szCs w:val="20"/>
        </w:rPr>
        <w:t>.</w:t>
      </w:r>
      <w:proofErr w:type="gramEnd"/>
      <w:r w:rsidRPr="00802EC4">
        <w:rPr>
          <w:i/>
          <w:sz w:val="20"/>
          <w:szCs w:val="20"/>
        </w:rPr>
        <w:t xml:space="preserve"> </w:t>
      </w:r>
      <w:proofErr w:type="gramStart"/>
      <w:r w:rsidRPr="00802EC4">
        <w:rPr>
          <w:i/>
          <w:sz w:val="20"/>
          <w:szCs w:val="20"/>
        </w:rPr>
        <w:t>Journal of Econometrics</w:t>
      </w:r>
      <w:r w:rsidR="00695D45">
        <w:rPr>
          <w:sz w:val="20"/>
          <w:szCs w:val="20"/>
        </w:rPr>
        <w:t>,</w:t>
      </w:r>
      <w:r w:rsidRPr="00802EC4">
        <w:rPr>
          <w:i/>
          <w:sz w:val="20"/>
          <w:szCs w:val="20"/>
        </w:rPr>
        <w:t xml:space="preserve"> </w:t>
      </w:r>
      <w:r w:rsidRPr="00802EC4">
        <w:rPr>
          <w:sz w:val="20"/>
          <w:szCs w:val="20"/>
        </w:rPr>
        <w:t>141</w:t>
      </w:r>
      <w:r w:rsidR="00695D45">
        <w:rPr>
          <w:sz w:val="20"/>
          <w:szCs w:val="20"/>
        </w:rPr>
        <w:t>(2)</w:t>
      </w:r>
      <w:r w:rsidRPr="00802EC4">
        <w:rPr>
          <w:sz w:val="20"/>
          <w:szCs w:val="20"/>
        </w:rPr>
        <w:t xml:space="preserve">, </w:t>
      </w:r>
      <w:r w:rsidR="00695D45">
        <w:rPr>
          <w:sz w:val="20"/>
          <w:szCs w:val="20"/>
        </w:rPr>
        <w:t>pp.</w:t>
      </w:r>
      <w:r w:rsidRPr="00802EC4">
        <w:rPr>
          <w:sz w:val="20"/>
          <w:szCs w:val="20"/>
        </w:rPr>
        <w:t>683</w:t>
      </w:r>
      <w:r w:rsidR="00025EC1">
        <w:rPr>
          <w:sz w:val="20"/>
          <w:szCs w:val="20"/>
        </w:rPr>
        <w:t>-</w:t>
      </w:r>
      <w:r w:rsidRPr="00802EC4">
        <w:rPr>
          <w:sz w:val="20"/>
          <w:szCs w:val="20"/>
        </w:rPr>
        <w:t>703.</w:t>
      </w:r>
      <w:proofErr w:type="gramEnd"/>
    </w:p>
    <w:p w:rsidR="00802EC4" w:rsidRPr="00802EC4" w:rsidRDefault="00802EC4" w:rsidP="000D3C82">
      <w:pPr>
        <w:ind w:left="360" w:hanging="360"/>
        <w:jc w:val="both"/>
        <w:rPr>
          <w:sz w:val="20"/>
          <w:szCs w:val="20"/>
        </w:rPr>
      </w:pPr>
      <w:r w:rsidRPr="00802EC4">
        <w:rPr>
          <w:sz w:val="20"/>
          <w:szCs w:val="20"/>
        </w:rPr>
        <w:t xml:space="preserve">Fang, A., 2008. </w:t>
      </w:r>
      <w:proofErr w:type="gramStart"/>
      <w:r w:rsidRPr="00802EC4">
        <w:rPr>
          <w:sz w:val="20"/>
          <w:szCs w:val="20"/>
        </w:rPr>
        <w:t>A discrete-continuous model of households' vehicle choice and usage, with an application to the effects of residential density.</w:t>
      </w:r>
      <w:proofErr w:type="gramEnd"/>
      <w:r w:rsidRPr="00802EC4">
        <w:rPr>
          <w:sz w:val="20"/>
          <w:szCs w:val="20"/>
        </w:rPr>
        <w:t xml:space="preserve"> </w:t>
      </w:r>
      <w:proofErr w:type="gramStart"/>
      <w:r w:rsidRPr="00802EC4">
        <w:rPr>
          <w:i/>
          <w:sz w:val="20"/>
          <w:szCs w:val="20"/>
        </w:rPr>
        <w:t xml:space="preserve">Transportation Research </w:t>
      </w:r>
      <w:r w:rsidR="00695D45">
        <w:rPr>
          <w:i/>
          <w:sz w:val="20"/>
          <w:szCs w:val="20"/>
        </w:rPr>
        <w:t xml:space="preserve">Part </w:t>
      </w:r>
      <w:r w:rsidRPr="00802EC4">
        <w:rPr>
          <w:i/>
          <w:sz w:val="20"/>
          <w:szCs w:val="20"/>
        </w:rPr>
        <w:t>B</w:t>
      </w:r>
      <w:r w:rsidRPr="00695D45">
        <w:rPr>
          <w:sz w:val="20"/>
          <w:szCs w:val="20"/>
        </w:rPr>
        <w:t>,</w:t>
      </w:r>
      <w:r w:rsidRPr="00802EC4">
        <w:rPr>
          <w:sz w:val="20"/>
          <w:szCs w:val="20"/>
        </w:rPr>
        <w:t xml:space="preserve"> 42</w:t>
      </w:r>
      <w:r w:rsidR="00695D45">
        <w:rPr>
          <w:sz w:val="20"/>
          <w:szCs w:val="20"/>
        </w:rPr>
        <w:t>(9)</w:t>
      </w:r>
      <w:r w:rsidRPr="00802EC4">
        <w:rPr>
          <w:sz w:val="20"/>
          <w:szCs w:val="20"/>
        </w:rPr>
        <w:t xml:space="preserve">, </w:t>
      </w:r>
      <w:r w:rsidR="00695D45">
        <w:rPr>
          <w:sz w:val="20"/>
          <w:szCs w:val="20"/>
        </w:rPr>
        <w:t>pp.</w:t>
      </w:r>
      <w:r w:rsidRPr="00802EC4">
        <w:rPr>
          <w:sz w:val="20"/>
          <w:szCs w:val="20"/>
        </w:rPr>
        <w:t>736-758.</w:t>
      </w:r>
      <w:proofErr w:type="gramEnd"/>
    </w:p>
    <w:p w:rsidR="00802EC4" w:rsidRPr="00802EC4" w:rsidRDefault="00802EC4" w:rsidP="000D3C82">
      <w:pPr>
        <w:ind w:left="360" w:hanging="360"/>
        <w:jc w:val="both"/>
        <w:rPr>
          <w:sz w:val="20"/>
          <w:szCs w:val="20"/>
        </w:rPr>
      </w:pPr>
      <w:r w:rsidRPr="00802EC4">
        <w:rPr>
          <w:sz w:val="20"/>
          <w:szCs w:val="20"/>
        </w:rPr>
        <w:lastRenderedPageBreak/>
        <w:t>Greene, W.H. and Hensher</w:t>
      </w:r>
      <w:r w:rsidR="00695D45">
        <w:rPr>
          <w:sz w:val="20"/>
          <w:szCs w:val="20"/>
        </w:rPr>
        <w:t>,</w:t>
      </w:r>
      <w:r w:rsidR="00695D45" w:rsidRPr="00802EC4">
        <w:rPr>
          <w:sz w:val="20"/>
          <w:szCs w:val="20"/>
        </w:rPr>
        <w:t xml:space="preserve"> D.A</w:t>
      </w:r>
      <w:r w:rsidR="00695D45">
        <w:rPr>
          <w:sz w:val="20"/>
          <w:szCs w:val="20"/>
        </w:rPr>
        <w:t>., 2010</w:t>
      </w:r>
      <w:r w:rsidRPr="00802EC4">
        <w:rPr>
          <w:sz w:val="20"/>
          <w:szCs w:val="20"/>
        </w:rPr>
        <w:t xml:space="preserve">. Does </w:t>
      </w:r>
      <w:r w:rsidR="00695D45" w:rsidRPr="00802EC4">
        <w:rPr>
          <w:sz w:val="20"/>
          <w:szCs w:val="20"/>
        </w:rPr>
        <w:t xml:space="preserve">scale heterogeneity across individuals matter? </w:t>
      </w:r>
      <w:proofErr w:type="gramStart"/>
      <w:r w:rsidR="00695D45" w:rsidRPr="00802EC4">
        <w:rPr>
          <w:sz w:val="20"/>
          <w:szCs w:val="20"/>
        </w:rPr>
        <w:t>an</w:t>
      </w:r>
      <w:proofErr w:type="gramEnd"/>
      <w:r w:rsidR="00695D45" w:rsidRPr="00802EC4">
        <w:rPr>
          <w:sz w:val="20"/>
          <w:szCs w:val="20"/>
        </w:rPr>
        <w:t xml:space="preserve"> empirical assessment of alternative </w:t>
      </w:r>
      <w:proofErr w:type="spellStart"/>
      <w:r w:rsidR="00695D45" w:rsidRPr="00802EC4">
        <w:rPr>
          <w:sz w:val="20"/>
          <w:szCs w:val="20"/>
        </w:rPr>
        <w:t>logit</w:t>
      </w:r>
      <w:proofErr w:type="spellEnd"/>
      <w:r w:rsidR="00695D45" w:rsidRPr="00802EC4">
        <w:rPr>
          <w:sz w:val="20"/>
          <w:szCs w:val="20"/>
        </w:rPr>
        <w:t xml:space="preserve"> models</w:t>
      </w:r>
      <w:r w:rsidRPr="00802EC4">
        <w:rPr>
          <w:sz w:val="20"/>
          <w:szCs w:val="20"/>
        </w:rPr>
        <w:t xml:space="preserve">. </w:t>
      </w:r>
      <w:proofErr w:type="gramStart"/>
      <w:r w:rsidRPr="00695D45">
        <w:rPr>
          <w:i/>
          <w:sz w:val="20"/>
          <w:szCs w:val="20"/>
        </w:rPr>
        <w:t>Transportation</w:t>
      </w:r>
      <w:r w:rsidR="00695D45">
        <w:rPr>
          <w:sz w:val="20"/>
          <w:szCs w:val="20"/>
        </w:rPr>
        <w:t>, 37</w:t>
      </w:r>
      <w:r w:rsidRPr="00802EC4">
        <w:rPr>
          <w:sz w:val="20"/>
          <w:szCs w:val="20"/>
        </w:rPr>
        <w:t xml:space="preserve">(3), </w:t>
      </w:r>
      <w:r w:rsidR="00695D45">
        <w:rPr>
          <w:sz w:val="20"/>
          <w:szCs w:val="20"/>
        </w:rPr>
        <w:t>pp.</w:t>
      </w:r>
      <w:r w:rsidRPr="00802EC4">
        <w:rPr>
          <w:sz w:val="20"/>
          <w:szCs w:val="20"/>
        </w:rPr>
        <w:t>413-428.</w:t>
      </w:r>
      <w:proofErr w:type="gramEnd"/>
    </w:p>
    <w:p w:rsidR="00802EC4" w:rsidRPr="00802EC4" w:rsidRDefault="00802EC4" w:rsidP="000D3C82">
      <w:pPr>
        <w:ind w:left="360" w:hanging="360"/>
        <w:jc w:val="both"/>
        <w:rPr>
          <w:bCs/>
          <w:sz w:val="20"/>
          <w:szCs w:val="20"/>
        </w:rPr>
      </w:pPr>
      <w:r w:rsidRPr="00802EC4">
        <w:rPr>
          <w:bCs/>
          <w:sz w:val="20"/>
          <w:szCs w:val="20"/>
        </w:rPr>
        <w:t xml:space="preserve">Hensher, D.A. and </w:t>
      </w:r>
      <w:proofErr w:type="spellStart"/>
      <w:r w:rsidRPr="00802EC4">
        <w:rPr>
          <w:bCs/>
          <w:sz w:val="20"/>
          <w:szCs w:val="20"/>
        </w:rPr>
        <w:t>Greene</w:t>
      </w:r>
      <w:proofErr w:type="gramStart"/>
      <w:r w:rsidR="005B4612">
        <w:rPr>
          <w:bCs/>
          <w:sz w:val="20"/>
          <w:szCs w:val="20"/>
        </w:rPr>
        <w:t>,</w:t>
      </w:r>
      <w:r w:rsidR="005B4612" w:rsidRPr="00802EC4">
        <w:rPr>
          <w:bCs/>
          <w:sz w:val="20"/>
          <w:szCs w:val="20"/>
        </w:rPr>
        <w:t>W.H</w:t>
      </w:r>
      <w:proofErr w:type="spellEnd"/>
      <w:proofErr w:type="gramEnd"/>
      <w:r w:rsidR="005B4612" w:rsidRPr="00802EC4">
        <w:rPr>
          <w:bCs/>
          <w:sz w:val="20"/>
          <w:szCs w:val="20"/>
        </w:rPr>
        <w:t>.</w:t>
      </w:r>
      <w:r w:rsidR="005B4612">
        <w:rPr>
          <w:bCs/>
          <w:sz w:val="20"/>
          <w:szCs w:val="20"/>
        </w:rPr>
        <w:t>, 2003.</w:t>
      </w:r>
      <w:r w:rsidRPr="00802EC4">
        <w:rPr>
          <w:bCs/>
          <w:sz w:val="20"/>
          <w:szCs w:val="20"/>
        </w:rPr>
        <w:t xml:space="preserve"> The </w:t>
      </w:r>
      <w:r w:rsidR="00EF4D15" w:rsidRPr="00802EC4">
        <w:rPr>
          <w:bCs/>
          <w:sz w:val="20"/>
          <w:szCs w:val="20"/>
        </w:rPr>
        <w:t xml:space="preserve">mixed </w:t>
      </w:r>
      <w:proofErr w:type="spellStart"/>
      <w:r w:rsidR="00EF4D15" w:rsidRPr="00802EC4">
        <w:rPr>
          <w:bCs/>
          <w:sz w:val="20"/>
          <w:szCs w:val="20"/>
        </w:rPr>
        <w:t>logit</w:t>
      </w:r>
      <w:proofErr w:type="spellEnd"/>
      <w:r w:rsidR="00EF4D15" w:rsidRPr="00802EC4">
        <w:rPr>
          <w:bCs/>
          <w:sz w:val="20"/>
          <w:szCs w:val="20"/>
        </w:rPr>
        <w:t xml:space="preserve"> model: the state of practice</w:t>
      </w:r>
      <w:r w:rsidR="00EF4D15">
        <w:rPr>
          <w:bCs/>
          <w:sz w:val="20"/>
          <w:szCs w:val="20"/>
        </w:rPr>
        <w:t>.</w:t>
      </w:r>
      <w:r w:rsidRPr="00802EC4">
        <w:rPr>
          <w:bCs/>
          <w:sz w:val="20"/>
          <w:szCs w:val="20"/>
        </w:rPr>
        <w:t xml:space="preserve"> </w:t>
      </w:r>
      <w:r w:rsidRPr="00802EC4">
        <w:rPr>
          <w:bCs/>
          <w:i/>
          <w:sz w:val="20"/>
          <w:szCs w:val="20"/>
        </w:rPr>
        <w:t>Transportation</w:t>
      </w:r>
      <w:r w:rsidR="005B4612">
        <w:rPr>
          <w:bCs/>
          <w:sz w:val="20"/>
          <w:szCs w:val="20"/>
        </w:rPr>
        <w:t>,</w:t>
      </w:r>
      <w:r w:rsidRPr="00802EC4">
        <w:rPr>
          <w:bCs/>
          <w:sz w:val="20"/>
          <w:szCs w:val="20"/>
        </w:rPr>
        <w:t xml:space="preserve"> 30</w:t>
      </w:r>
      <w:r w:rsidR="005B4612">
        <w:rPr>
          <w:bCs/>
          <w:sz w:val="20"/>
          <w:szCs w:val="20"/>
        </w:rPr>
        <w:t>(2), pp.</w:t>
      </w:r>
      <w:r w:rsidRPr="00802EC4">
        <w:rPr>
          <w:bCs/>
          <w:sz w:val="20"/>
          <w:szCs w:val="20"/>
        </w:rPr>
        <w:t>133</w:t>
      </w:r>
      <w:r w:rsidR="005B4612">
        <w:rPr>
          <w:bCs/>
          <w:sz w:val="20"/>
          <w:szCs w:val="20"/>
        </w:rPr>
        <w:t>-</w:t>
      </w:r>
      <w:r w:rsidRPr="00802EC4">
        <w:rPr>
          <w:bCs/>
          <w:sz w:val="20"/>
          <w:szCs w:val="20"/>
        </w:rPr>
        <w:t>176.</w:t>
      </w:r>
    </w:p>
    <w:p w:rsidR="00802EC4" w:rsidRPr="00802EC4" w:rsidRDefault="00802EC4" w:rsidP="000D3C82">
      <w:pPr>
        <w:ind w:left="360" w:hanging="360"/>
        <w:jc w:val="both"/>
        <w:rPr>
          <w:bCs/>
          <w:sz w:val="20"/>
          <w:szCs w:val="20"/>
        </w:rPr>
      </w:pPr>
      <w:proofErr w:type="gramStart"/>
      <w:r w:rsidRPr="00802EC4">
        <w:rPr>
          <w:bCs/>
          <w:sz w:val="20"/>
          <w:szCs w:val="20"/>
        </w:rPr>
        <w:t>Hess, S. and Daly</w:t>
      </w:r>
      <w:r w:rsidR="00EF4D15">
        <w:rPr>
          <w:bCs/>
          <w:sz w:val="20"/>
          <w:szCs w:val="20"/>
        </w:rPr>
        <w:t>,</w:t>
      </w:r>
      <w:r w:rsidR="00EF4D15" w:rsidRPr="00802EC4">
        <w:rPr>
          <w:bCs/>
          <w:sz w:val="20"/>
          <w:szCs w:val="20"/>
        </w:rPr>
        <w:t xml:space="preserve"> A.</w:t>
      </w:r>
      <w:r w:rsidR="00EF4D15">
        <w:rPr>
          <w:bCs/>
          <w:sz w:val="20"/>
          <w:szCs w:val="20"/>
        </w:rPr>
        <w:t>, 2009</w:t>
      </w:r>
      <w:r w:rsidRPr="00802EC4">
        <w:rPr>
          <w:bCs/>
          <w:sz w:val="20"/>
          <w:szCs w:val="20"/>
        </w:rPr>
        <w:t>.</w:t>
      </w:r>
      <w:proofErr w:type="gramEnd"/>
      <w:r w:rsidRPr="00802EC4">
        <w:rPr>
          <w:bCs/>
          <w:sz w:val="20"/>
          <w:szCs w:val="20"/>
        </w:rPr>
        <w:t xml:space="preserve"> Calculating </w:t>
      </w:r>
      <w:r w:rsidR="00EF4D15" w:rsidRPr="00802EC4">
        <w:rPr>
          <w:bCs/>
          <w:sz w:val="20"/>
          <w:szCs w:val="20"/>
        </w:rPr>
        <w:t>errors for measures derived from choice modeling estimates</w:t>
      </w:r>
      <w:r w:rsidRPr="00802EC4">
        <w:rPr>
          <w:bCs/>
          <w:sz w:val="20"/>
          <w:szCs w:val="20"/>
        </w:rPr>
        <w:t xml:space="preserve">. </w:t>
      </w:r>
      <w:r w:rsidR="00EF4D15">
        <w:rPr>
          <w:sz w:val="20"/>
          <w:szCs w:val="20"/>
        </w:rPr>
        <w:t xml:space="preserve">In: </w:t>
      </w:r>
      <w:r w:rsidR="00EF4D15" w:rsidRPr="00695D45">
        <w:rPr>
          <w:i/>
          <w:sz w:val="20"/>
          <w:szCs w:val="20"/>
        </w:rPr>
        <w:t>88</w:t>
      </w:r>
      <w:r w:rsidR="00EF4D15" w:rsidRPr="00695D45">
        <w:rPr>
          <w:i/>
          <w:sz w:val="20"/>
          <w:szCs w:val="20"/>
          <w:vertAlign w:val="superscript"/>
        </w:rPr>
        <w:t>th</w:t>
      </w:r>
      <w:r w:rsidR="00EF4D15" w:rsidRPr="00695D45">
        <w:rPr>
          <w:i/>
          <w:sz w:val="20"/>
          <w:szCs w:val="20"/>
        </w:rPr>
        <w:t xml:space="preserve"> </w:t>
      </w:r>
      <w:r w:rsidR="00EF4D15" w:rsidRPr="00A64D71">
        <w:rPr>
          <w:i/>
          <w:sz w:val="20"/>
          <w:szCs w:val="20"/>
          <w:lang w:val="en-GB"/>
        </w:rPr>
        <w:t>Annual Meeting of the Transportation Research Board</w:t>
      </w:r>
      <w:r w:rsidR="00EF4D15" w:rsidRPr="00A64D71">
        <w:rPr>
          <w:sz w:val="20"/>
          <w:szCs w:val="20"/>
          <w:lang w:val="en-GB"/>
        </w:rPr>
        <w:t xml:space="preserve">. </w:t>
      </w:r>
      <w:r w:rsidR="00EF4D15" w:rsidRPr="00A64D71">
        <w:rPr>
          <w:iCs/>
          <w:sz w:val="20"/>
          <w:szCs w:val="20"/>
          <w:lang w:val="en-GB"/>
        </w:rPr>
        <w:t>Washington, DC</w:t>
      </w:r>
      <w:r w:rsidR="00EF4D15">
        <w:rPr>
          <w:iCs/>
          <w:sz w:val="20"/>
          <w:szCs w:val="20"/>
          <w:lang w:val="en-GB"/>
        </w:rPr>
        <w:t>, USA, 11-15 January 2009.</w:t>
      </w:r>
    </w:p>
    <w:p w:rsidR="00802EC4" w:rsidRPr="00802EC4" w:rsidRDefault="00802EC4" w:rsidP="000D3C82">
      <w:pPr>
        <w:ind w:left="360" w:hanging="360"/>
        <w:jc w:val="both"/>
        <w:rPr>
          <w:bCs/>
          <w:sz w:val="20"/>
          <w:szCs w:val="20"/>
        </w:rPr>
      </w:pPr>
      <w:proofErr w:type="gramStart"/>
      <w:r w:rsidRPr="00802EC4">
        <w:rPr>
          <w:bCs/>
          <w:sz w:val="20"/>
          <w:szCs w:val="20"/>
        </w:rPr>
        <w:t>Hess, S. and Hensher</w:t>
      </w:r>
      <w:r w:rsidR="00095247">
        <w:rPr>
          <w:bCs/>
          <w:sz w:val="20"/>
          <w:szCs w:val="20"/>
        </w:rPr>
        <w:t>,</w:t>
      </w:r>
      <w:r w:rsidR="00095247" w:rsidRPr="00802EC4">
        <w:rPr>
          <w:bCs/>
          <w:sz w:val="20"/>
          <w:szCs w:val="20"/>
        </w:rPr>
        <w:t xml:space="preserve"> D.A.</w:t>
      </w:r>
      <w:r w:rsidR="00095247">
        <w:rPr>
          <w:bCs/>
          <w:sz w:val="20"/>
          <w:szCs w:val="20"/>
        </w:rPr>
        <w:t>, 2010</w:t>
      </w:r>
      <w:r w:rsidRPr="00802EC4">
        <w:rPr>
          <w:bCs/>
          <w:sz w:val="20"/>
          <w:szCs w:val="20"/>
        </w:rPr>
        <w:t>.</w:t>
      </w:r>
      <w:proofErr w:type="gramEnd"/>
      <w:r w:rsidRPr="00802EC4">
        <w:rPr>
          <w:bCs/>
          <w:sz w:val="20"/>
          <w:szCs w:val="20"/>
        </w:rPr>
        <w:t xml:space="preserve"> </w:t>
      </w:r>
      <w:proofErr w:type="gramStart"/>
      <w:r w:rsidRPr="00802EC4">
        <w:rPr>
          <w:bCs/>
          <w:sz w:val="20"/>
          <w:szCs w:val="20"/>
        </w:rPr>
        <w:t>Using conditioning on observed choices to retrieve individual-specific attribute processing strategies.</w:t>
      </w:r>
      <w:proofErr w:type="gramEnd"/>
      <w:r w:rsidRPr="00802EC4">
        <w:rPr>
          <w:bCs/>
          <w:sz w:val="20"/>
          <w:szCs w:val="20"/>
        </w:rPr>
        <w:t xml:space="preserve"> </w:t>
      </w:r>
      <w:proofErr w:type="gramStart"/>
      <w:r w:rsidRPr="00095247">
        <w:rPr>
          <w:bCs/>
          <w:i/>
          <w:sz w:val="20"/>
          <w:szCs w:val="20"/>
        </w:rPr>
        <w:t>Transportation Research Part B</w:t>
      </w:r>
      <w:r w:rsidRPr="00802EC4">
        <w:rPr>
          <w:bCs/>
          <w:sz w:val="20"/>
          <w:szCs w:val="20"/>
        </w:rPr>
        <w:t xml:space="preserve">, 44(6), </w:t>
      </w:r>
      <w:r w:rsidR="00095247">
        <w:rPr>
          <w:bCs/>
          <w:sz w:val="20"/>
          <w:szCs w:val="20"/>
        </w:rPr>
        <w:t>pp.</w:t>
      </w:r>
      <w:r w:rsidRPr="00802EC4">
        <w:rPr>
          <w:bCs/>
          <w:sz w:val="20"/>
          <w:szCs w:val="20"/>
        </w:rPr>
        <w:t>781-</w:t>
      </w:r>
      <w:r w:rsidR="00095247">
        <w:rPr>
          <w:bCs/>
          <w:sz w:val="20"/>
          <w:szCs w:val="20"/>
        </w:rPr>
        <w:t>7</w:t>
      </w:r>
      <w:r w:rsidRPr="00802EC4">
        <w:rPr>
          <w:bCs/>
          <w:sz w:val="20"/>
          <w:szCs w:val="20"/>
        </w:rPr>
        <w:t>90.</w:t>
      </w:r>
      <w:proofErr w:type="gramEnd"/>
    </w:p>
    <w:p w:rsidR="00802EC4" w:rsidRPr="00802EC4" w:rsidRDefault="00802EC4" w:rsidP="000D3C82">
      <w:pPr>
        <w:ind w:left="360" w:hanging="360"/>
        <w:jc w:val="both"/>
        <w:rPr>
          <w:bCs/>
          <w:sz w:val="20"/>
          <w:szCs w:val="20"/>
        </w:rPr>
      </w:pPr>
      <w:proofErr w:type="gramStart"/>
      <w:r w:rsidRPr="00802EC4">
        <w:rPr>
          <w:bCs/>
          <w:sz w:val="20"/>
          <w:szCs w:val="20"/>
        </w:rPr>
        <w:t xml:space="preserve">Hess, S. </w:t>
      </w:r>
      <w:r w:rsidR="00095247">
        <w:rPr>
          <w:bCs/>
          <w:sz w:val="20"/>
          <w:szCs w:val="20"/>
        </w:rPr>
        <w:t>and</w:t>
      </w:r>
      <w:r w:rsidRPr="00802EC4">
        <w:rPr>
          <w:bCs/>
          <w:sz w:val="20"/>
          <w:szCs w:val="20"/>
        </w:rPr>
        <w:t xml:space="preserve"> Train, K.E.</w:t>
      </w:r>
      <w:r w:rsidR="00095247">
        <w:rPr>
          <w:bCs/>
          <w:sz w:val="20"/>
          <w:szCs w:val="20"/>
        </w:rPr>
        <w:t>, 2010.</w:t>
      </w:r>
      <w:proofErr w:type="gramEnd"/>
      <w:r w:rsidRPr="00802EC4">
        <w:rPr>
          <w:bCs/>
          <w:sz w:val="20"/>
          <w:szCs w:val="20"/>
        </w:rPr>
        <w:t xml:space="preserve"> Approximation </w:t>
      </w:r>
      <w:r w:rsidR="00095247" w:rsidRPr="00802EC4">
        <w:rPr>
          <w:bCs/>
          <w:sz w:val="20"/>
          <w:szCs w:val="20"/>
        </w:rPr>
        <w:t>issues in simulation-based estimation of random coefficient models</w:t>
      </w:r>
      <w:r w:rsidR="00095247">
        <w:rPr>
          <w:bCs/>
          <w:sz w:val="20"/>
          <w:szCs w:val="20"/>
        </w:rPr>
        <w:t>.</w:t>
      </w:r>
      <w:r w:rsidR="00095247" w:rsidRPr="00095247">
        <w:rPr>
          <w:sz w:val="20"/>
          <w:szCs w:val="20"/>
        </w:rPr>
        <w:t xml:space="preserve"> </w:t>
      </w:r>
      <w:r w:rsidR="00095247">
        <w:rPr>
          <w:sz w:val="20"/>
          <w:szCs w:val="20"/>
        </w:rPr>
        <w:t xml:space="preserve">In: </w:t>
      </w:r>
      <w:r w:rsidR="00095247" w:rsidRPr="00695D45">
        <w:rPr>
          <w:i/>
          <w:sz w:val="20"/>
          <w:szCs w:val="20"/>
        </w:rPr>
        <w:t>8</w:t>
      </w:r>
      <w:r w:rsidR="00095247">
        <w:rPr>
          <w:i/>
          <w:sz w:val="20"/>
          <w:szCs w:val="20"/>
        </w:rPr>
        <w:t>9</w:t>
      </w:r>
      <w:r w:rsidR="00095247" w:rsidRPr="00695D45">
        <w:rPr>
          <w:i/>
          <w:sz w:val="20"/>
          <w:szCs w:val="20"/>
          <w:vertAlign w:val="superscript"/>
        </w:rPr>
        <w:t>th</w:t>
      </w:r>
      <w:r w:rsidR="00095247" w:rsidRPr="00695D45">
        <w:rPr>
          <w:i/>
          <w:sz w:val="20"/>
          <w:szCs w:val="20"/>
        </w:rPr>
        <w:t xml:space="preserve"> </w:t>
      </w:r>
      <w:r w:rsidR="00095247" w:rsidRPr="00A64D71">
        <w:rPr>
          <w:i/>
          <w:sz w:val="20"/>
          <w:szCs w:val="20"/>
          <w:lang w:val="en-GB"/>
        </w:rPr>
        <w:t>Annual Meeting of the Transportation Research Board</w:t>
      </w:r>
      <w:r w:rsidR="00095247" w:rsidRPr="00A64D71">
        <w:rPr>
          <w:sz w:val="20"/>
          <w:szCs w:val="20"/>
          <w:lang w:val="en-GB"/>
        </w:rPr>
        <w:t xml:space="preserve">. </w:t>
      </w:r>
      <w:r w:rsidR="00095247" w:rsidRPr="00A64D71">
        <w:rPr>
          <w:iCs/>
          <w:sz w:val="20"/>
          <w:szCs w:val="20"/>
          <w:lang w:val="en-GB"/>
        </w:rPr>
        <w:t>Washington, DC</w:t>
      </w:r>
      <w:r w:rsidR="00095247">
        <w:rPr>
          <w:iCs/>
          <w:sz w:val="20"/>
          <w:szCs w:val="20"/>
          <w:lang w:val="en-GB"/>
        </w:rPr>
        <w:t>, USA, 10-14 January 2010.</w:t>
      </w:r>
    </w:p>
    <w:p w:rsidR="00802EC4" w:rsidRPr="00802EC4" w:rsidRDefault="00802EC4" w:rsidP="000D3C82">
      <w:pPr>
        <w:ind w:left="360" w:hanging="360"/>
        <w:jc w:val="both"/>
        <w:rPr>
          <w:bCs/>
          <w:sz w:val="20"/>
          <w:szCs w:val="20"/>
        </w:rPr>
      </w:pPr>
      <w:proofErr w:type="gramStart"/>
      <w:r w:rsidRPr="00802EC4">
        <w:rPr>
          <w:bCs/>
          <w:sz w:val="20"/>
          <w:szCs w:val="20"/>
        </w:rPr>
        <w:t xml:space="preserve">Hess, S. </w:t>
      </w:r>
      <w:r w:rsidR="00FE3F0B">
        <w:rPr>
          <w:bCs/>
          <w:sz w:val="20"/>
          <w:szCs w:val="20"/>
        </w:rPr>
        <w:t>and</w:t>
      </w:r>
      <w:r w:rsidRPr="00802EC4">
        <w:rPr>
          <w:bCs/>
          <w:sz w:val="20"/>
          <w:szCs w:val="20"/>
        </w:rPr>
        <w:t xml:space="preserve"> Train, K.E.</w:t>
      </w:r>
      <w:r w:rsidR="00FE3F0B">
        <w:rPr>
          <w:bCs/>
          <w:sz w:val="20"/>
          <w:szCs w:val="20"/>
        </w:rPr>
        <w:t>, 2011</w:t>
      </w:r>
      <w:r w:rsidRPr="00802EC4">
        <w:rPr>
          <w:bCs/>
          <w:sz w:val="20"/>
          <w:szCs w:val="20"/>
        </w:rPr>
        <w:t>.</w:t>
      </w:r>
      <w:proofErr w:type="gramEnd"/>
      <w:r w:rsidRPr="00802EC4">
        <w:rPr>
          <w:bCs/>
          <w:sz w:val="20"/>
          <w:szCs w:val="20"/>
        </w:rPr>
        <w:t xml:space="preserve"> Recovery </w:t>
      </w:r>
      <w:r w:rsidR="00FE3F0B" w:rsidRPr="00802EC4">
        <w:rPr>
          <w:bCs/>
          <w:sz w:val="20"/>
          <w:szCs w:val="20"/>
        </w:rPr>
        <w:t xml:space="preserve">of inter- and intra-personal heterogeneity using mixed </w:t>
      </w:r>
      <w:proofErr w:type="spellStart"/>
      <w:r w:rsidR="00FE3F0B" w:rsidRPr="00802EC4">
        <w:rPr>
          <w:bCs/>
          <w:sz w:val="20"/>
          <w:szCs w:val="20"/>
        </w:rPr>
        <w:t>logit</w:t>
      </w:r>
      <w:proofErr w:type="spellEnd"/>
      <w:r w:rsidR="00FE3F0B" w:rsidRPr="00802EC4">
        <w:rPr>
          <w:bCs/>
          <w:sz w:val="20"/>
          <w:szCs w:val="20"/>
        </w:rPr>
        <w:t xml:space="preserve"> models</w:t>
      </w:r>
      <w:r w:rsidRPr="00802EC4">
        <w:rPr>
          <w:bCs/>
          <w:sz w:val="20"/>
          <w:szCs w:val="20"/>
        </w:rPr>
        <w:t xml:space="preserve">. </w:t>
      </w:r>
      <w:proofErr w:type="gramStart"/>
      <w:r w:rsidR="00FE3F0B" w:rsidRPr="00FE3F0B">
        <w:rPr>
          <w:bCs/>
          <w:i/>
          <w:sz w:val="20"/>
          <w:szCs w:val="20"/>
        </w:rPr>
        <w:t>Transportation Research Part B</w:t>
      </w:r>
      <w:r w:rsidR="00FE3F0B">
        <w:rPr>
          <w:bCs/>
          <w:sz w:val="20"/>
          <w:szCs w:val="20"/>
        </w:rPr>
        <w:t>,</w:t>
      </w:r>
      <w:r w:rsidR="00FE3F0B" w:rsidRPr="00FE3F0B">
        <w:rPr>
          <w:bCs/>
          <w:sz w:val="20"/>
          <w:szCs w:val="20"/>
        </w:rPr>
        <w:t xml:space="preserve"> 45(7), </w:t>
      </w:r>
      <w:r w:rsidR="00FE3F0B">
        <w:rPr>
          <w:bCs/>
          <w:sz w:val="20"/>
          <w:szCs w:val="20"/>
        </w:rPr>
        <w:t>pp.</w:t>
      </w:r>
      <w:r w:rsidR="00FE3F0B" w:rsidRPr="00FE3F0B">
        <w:rPr>
          <w:bCs/>
          <w:sz w:val="20"/>
          <w:szCs w:val="20"/>
        </w:rPr>
        <w:t>973-990</w:t>
      </w:r>
      <w:r w:rsidR="00FE3F0B">
        <w:rPr>
          <w:bCs/>
          <w:sz w:val="20"/>
          <w:szCs w:val="20"/>
        </w:rPr>
        <w:t>.</w:t>
      </w:r>
      <w:proofErr w:type="gramEnd"/>
    </w:p>
    <w:p w:rsidR="00802EC4" w:rsidRPr="00802EC4" w:rsidRDefault="00802EC4" w:rsidP="000D3C82">
      <w:pPr>
        <w:ind w:left="360" w:hanging="360"/>
        <w:jc w:val="both"/>
        <w:rPr>
          <w:bCs/>
          <w:sz w:val="20"/>
          <w:szCs w:val="20"/>
        </w:rPr>
      </w:pPr>
      <w:proofErr w:type="spellStart"/>
      <w:r w:rsidRPr="00802EC4">
        <w:rPr>
          <w:bCs/>
          <w:sz w:val="20"/>
          <w:szCs w:val="20"/>
        </w:rPr>
        <w:t>Jeliazkov</w:t>
      </w:r>
      <w:proofErr w:type="spellEnd"/>
      <w:r w:rsidRPr="00802EC4">
        <w:rPr>
          <w:bCs/>
          <w:sz w:val="20"/>
          <w:szCs w:val="20"/>
        </w:rPr>
        <w:t xml:space="preserve">, I. and </w:t>
      </w:r>
      <w:proofErr w:type="spellStart"/>
      <w:r w:rsidRPr="00802EC4">
        <w:rPr>
          <w:bCs/>
          <w:sz w:val="20"/>
          <w:szCs w:val="20"/>
        </w:rPr>
        <w:t>Chib</w:t>
      </w:r>
      <w:proofErr w:type="spellEnd"/>
      <w:r w:rsidR="00FE3F0B">
        <w:rPr>
          <w:bCs/>
          <w:sz w:val="20"/>
          <w:szCs w:val="20"/>
        </w:rPr>
        <w:t>,</w:t>
      </w:r>
      <w:r w:rsidR="00FE3F0B" w:rsidRPr="00802EC4">
        <w:rPr>
          <w:bCs/>
          <w:sz w:val="20"/>
          <w:szCs w:val="20"/>
        </w:rPr>
        <w:t xml:space="preserve"> S.</w:t>
      </w:r>
      <w:r w:rsidR="00FE3F0B">
        <w:rPr>
          <w:bCs/>
          <w:sz w:val="20"/>
          <w:szCs w:val="20"/>
        </w:rPr>
        <w:t>, 2001</w:t>
      </w:r>
      <w:r w:rsidRPr="00802EC4">
        <w:rPr>
          <w:bCs/>
          <w:sz w:val="20"/>
          <w:szCs w:val="20"/>
        </w:rPr>
        <w:t xml:space="preserve">. </w:t>
      </w:r>
      <w:proofErr w:type="gramStart"/>
      <w:r w:rsidRPr="00802EC4">
        <w:rPr>
          <w:bCs/>
          <w:sz w:val="20"/>
          <w:szCs w:val="20"/>
        </w:rPr>
        <w:t xml:space="preserve">Marginal </w:t>
      </w:r>
      <w:r w:rsidR="00FE3F0B">
        <w:rPr>
          <w:bCs/>
          <w:sz w:val="20"/>
          <w:szCs w:val="20"/>
        </w:rPr>
        <w:t>l</w:t>
      </w:r>
      <w:r w:rsidRPr="00802EC4">
        <w:rPr>
          <w:bCs/>
          <w:sz w:val="20"/>
          <w:szCs w:val="20"/>
        </w:rPr>
        <w:t>ikelihood from t</w:t>
      </w:r>
      <w:r w:rsidR="00FE3F0B">
        <w:rPr>
          <w:bCs/>
          <w:sz w:val="20"/>
          <w:szCs w:val="20"/>
        </w:rPr>
        <w:t>he Metropolis-Hastings output.</w:t>
      </w:r>
      <w:proofErr w:type="gramEnd"/>
      <w:r w:rsidR="00FE3F0B">
        <w:rPr>
          <w:bCs/>
          <w:sz w:val="20"/>
          <w:szCs w:val="20"/>
        </w:rPr>
        <w:t xml:space="preserve"> </w:t>
      </w:r>
      <w:proofErr w:type="gramStart"/>
      <w:r w:rsidRPr="004D560A">
        <w:rPr>
          <w:bCs/>
          <w:i/>
          <w:sz w:val="20"/>
          <w:szCs w:val="20"/>
        </w:rPr>
        <w:t>Journal of the American Statistical Association</w:t>
      </w:r>
      <w:r w:rsidRPr="00802EC4">
        <w:rPr>
          <w:bCs/>
          <w:sz w:val="20"/>
          <w:szCs w:val="20"/>
        </w:rPr>
        <w:t>, 96</w:t>
      </w:r>
      <w:r w:rsidR="00FE3F0B">
        <w:rPr>
          <w:bCs/>
          <w:sz w:val="20"/>
          <w:szCs w:val="20"/>
        </w:rPr>
        <w:t>(453)</w:t>
      </w:r>
      <w:r w:rsidRPr="00802EC4">
        <w:rPr>
          <w:bCs/>
          <w:sz w:val="20"/>
          <w:szCs w:val="20"/>
        </w:rPr>
        <w:t xml:space="preserve">, </w:t>
      </w:r>
      <w:r w:rsidR="00FE3F0B">
        <w:rPr>
          <w:bCs/>
          <w:sz w:val="20"/>
          <w:szCs w:val="20"/>
        </w:rPr>
        <w:t>pp.</w:t>
      </w:r>
      <w:r w:rsidRPr="00802EC4">
        <w:rPr>
          <w:bCs/>
          <w:sz w:val="20"/>
          <w:szCs w:val="20"/>
        </w:rPr>
        <w:t>270-281.</w:t>
      </w:r>
      <w:proofErr w:type="gramEnd"/>
    </w:p>
    <w:p w:rsidR="00802EC4" w:rsidRPr="00802EC4" w:rsidRDefault="00802EC4" w:rsidP="000D3C82">
      <w:pPr>
        <w:ind w:left="360" w:hanging="360"/>
        <w:jc w:val="both"/>
        <w:rPr>
          <w:sz w:val="20"/>
          <w:szCs w:val="20"/>
        </w:rPr>
      </w:pPr>
      <w:proofErr w:type="gramStart"/>
      <w:r w:rsidRPr="00802EC4">
        <w:rPr>
          <w:sz w:val="20"/>
          <w:szCs w:val="20"/>
        </w:rPr>
        <w:t>Kim, Y., Kim</w:t>
      </w:r>
      <w:r w:rsidR="008F0970">
        <w:rPr>
          <w:sz w:val="20"/>
          <w:szCs w:val="20"/>
        </w:rPr>
        <w:t>, T.-Y.</w:t>
      </w:r>
      <w:proofErr w:type="gramEnd"/>
      <w:r w:rsidRPr="00802EC4">
        <w:rPr>
          <w:sz w:val="20"/>
          <w:szCs w:val="20"/>
        </w:rPr>
        <w:t xml:space="preserve"> </w:t>
      </w:r>
      <w:proofErr w:type="gramStart"/>
      <w:r w:rsidR="008F0970">
        <w:rPr>
          <w:sz w:val="20"/>
          <w:szCs w:val="20"/>
        </w:rPr>
        <w:t>and</w:t>
      </w:r>
      <w:proofErr w:type="gramEnd"/>
      <w:r w:rsidRPr="00802EC4">
        <w:rPr>
          <w:sz w:val="20"/>
          <w:szCs w:val="20"/>
        </w:rPr>
        <w:t xml:space="preserve"> </w:t>
      </w:r>
      <w:proofErr w:type="spellStart"/>
      <w:r w:rsidRPr="00802EC4">
        <w:rPr>
          <w:sz w:val="20"/>
          <w:szCs w:val="20"/>
        </w:rPr>
        <w:t>Heo</w:t>
      </w:r>
      <w:proofErr w:type="spellEnd"/>
      <w:r w:rsidR="008F0970">
        <w:rPr>
          <w:sz w:val="20"/>
          <w:szCs w:val="20"/>
        </w:rPr>
        <w:t xml:space="preserve">, </w:t>
      </w:r>
      <w:r w:rsidR="008F0970" w:rsidRPr="00802EC4">
        <w:rPr>
          <w:sz w:val="20"/>
          <w:szCs w:val="20"/>
        </w:rPr>
        <w:t>E</w:t>
      </w:r>
      <w:r w:rsidR="008F0970">
        <w:rPr>
          <w:sz w:val="20"/>
          <w:szCs w:val="20"/>
        </w:rPr>
        <w:t>., 2003</w:t>
      </w:r>
      <w:r w:rsidRPr="00802EC4">
        <w:rPr>
          <w:sz w:val="20"/>
          <w:szCs w:val="20"/>
        </w:rPr>
        <w:t xml:space="preserve">. </w:t>
      </w:r>
      <w:proofErr w:type="gramStart"/>
      <w:r w:rsidRPr="00802EC4">
        <w:rPr>
          <w:sz w:val="20"/>
          <w:szCs w:val="20"/>
        </w:rPr>
        <w:t xml:space="preserve">Bayesian estimation of multinomial </w:t>
      </w:r>
      <w:proofErr w:type="spellStart"/>
      <w:r w:rsidRPr="00802EC4">
        <w:rPr>
          <w:sz w:val="20"/>
          <w:szCs w:val="20"/>
        </w:rPr>
        <w:t>probit</w:t>
      </w:r>
      <w:proofErr w:type="spellEnd"/>
      <w:r w:rsidRPr="00802EC4">
        <w:rPr>
          <w:sz w:val="20"/>
          <w:szCs w:val="20"/>
        </w:rPr>
        <w:t xml:space="preserve"> models of work trip choice.</w:t>
      </w:r>
      <w:proofErr w:type="gramEnd"/>
      <w:r w:rsidRPr="00802EC4">
        <w:rPr>
          <w:sz w:val="20"/>
          <w:szCs w:val="20"/>
        </w:rPr>
        <w:t xml:space="preserve"> </w:t>
      </w:r>
      <w:proofErr w:type="gramStart"/>
      <w:r w:rsidRPr="00802EC4">
        <w:rPr>
          <w:i/>
          <w:sz w:val="20"/>
          <w:szCs w:val="20"/>
        </w:rPr>
        <w:t>Transportation</w:t>
      </w:r>
      <w:r w:rsidR="004D560A" w:rsidRPr="004D560A">
        <w:rPr>
          <w:sz w:val="20"/>
          <w:szCs w:val="20"/>
        </w:rPr>
        <w:t>,</w:t>
      </w:r>
      <w:r w:rsidRPr="00802EC4">
        <w:rPr>
          <w:sz w:val="20"/>
          <w:szCs w:val="20"/>
        </w:rPr>
        <w:t xml:space="preserve"> 30</w:t>
      </w:r>
      <w:r w:rsidR="004D560A">
        <w:rPr>
          <w:sz w:val="20"/>
          <w:szCs w:val="20"/>
        </w:rPr>
        <w:t>(3),</w:t>
      </w:r>
      <w:r w:rsidRPr="00802EC4">
        <w:rPr>
          <w:sz w:val="20"/>
          <w:szCs w:val="20"/>
        </w:rPr>
        <w:t xml:space="preserve"> </w:t>
      </w:r>
      <w:r w:rsidR="004D560A">
        <w:rPr>
          <w:sz w:val="20"/>
          <w:szCs w:val="20"/>
        </w:rPr>
        <w:t>pp.</w:t>
      </w:r>
      <w:r w:rsidRPr="00802EC4">
        <w:rPr>
          <w:sz w:val="20"/>
          <w:szCs w:val="20"/>
        </w:rPr>
        <w:t>351</w:t>
      </w:r>
      <w:r w:rsidR="004D560A">
        <w:rPr>
          <w:sz w:val="20"/>
          <w:szCs w:val="20"/>
        </w:rPr>
        <w:t>-</w:t>
      </w:r>
      <w:r w:rsidRPr="00802EC4">
        <w:rPr>
          <w:sz w:val="20"/>
          <w:szCs w:val="20"/>
        </w:rPr>
        <w:t>365.</w:t>
      </w:r>
      <w:proofErr w:type="gramEnd"/>
    </w:p>
    <w:p w:rsidR="00802EC4" w:rsidRPr="00802EC4" w:rsidRDefault="008F0970" w:rsidP="000D3C82">
      <w:pPr>
        <w:ind w:left="360" w:hanging="360"/>
        <w:jc w:val="both"/>
        <w:rPr>
          <w:sz w:val="20"/>
          <w:szCs w:val="20"/>
        </w:rPr>
      </w:pPr>
      <w:proofErr w:type="spellStart"/>
      <w:r>
        <w:rPr>
          <w:sz w:val="20"/>
          <w:szCs w:val="20"/>
        </w:rPr>
        <w:t>Krinsky</w:t>
      </w:r>
      <w:proofErr w:type="spellEnd"/>
      <w:r>
        <w:rPr>
          <w:sz w:val="20"/>
          <w:szCs w:val="20"/>
        </w:rPr>
        <w:t>, I.</w:t>
      </w:r>
      <w:r w:rsidR="00802EC4" w:rsidRPr="00802EC4">
        <w:rPr>
          <w:sz w:val="20"/>
          <w:szCs w:val="20"/>
        </w:rPr>
        <w:t xml:space="preserve"> and Robb</w:t>
      </w:r>
      <w:r>
        <w:rPr>
          <w:sz w:val="20"/>
          <w:szCs w:val="20"/>
        </w:rPr>
        <w:t>, A.L., 1986.</w:t>
      </w:r>
      <w:r w:rsidR="00802EC4" w:rsidRPr="00802EC4">
        <w:rPr>
          <w:sz w:val="20"/>
          <w:szCs w:val="20"/>
        </w:rPr>
        <w:t xml:space="preserve"> </w:t>
      </w:r>
      <w:proofErr w:type="gramStart"/>
      <w:r w:rsidR="00802EC4" w:rsidRPr="00802EC4">
        <w:rPr>
          <w:sz w:val="20"/>
          <w:szCs w:val="20"/>
        </w:rPr>
        <w:t xml:space="preserve">On approximating the statistical properties of </w:t>
      </w:r>
      <w:proofErr w:type="spellStart"/>
      <w:r w:rsidR="00802EC4" w:rsidRPr="00802EC4">
        <w:rPr>
          <w:sz w:val="20"/>
          <w:szCs w:val="20"/>
        </w:rPr>
        <w:t>elasticities</w:t>
      </w:r>
      <w:proofErr w:type="spellEnd"/>
      <w:r>
        <w:rPr>
          <w:sz w:val="20"/>
          <w:szCs w:val="20"/>
        </w:rPr>
        <w:t>.</w:t>
      </w:r>
      <w:proofErr w:type="gramEnd"/>
      <w:r w:rsidR="00802EC4" w:rsidRPr="00802EC4">
        <w:rPr>
          <w:sz w:val="20"/>
          <w:szCs w:val="20"/>
        </w:rPr>
        <w:t xml:space="preserve"> </w:t>
      </w:r>
      <w:proofErr w:type="gramStart"/>
      <w:r w:rsidR="00802EC4" w:rsidRPr="00802EC4">
        <w:rPr>
          <w:i/>
          <w:sz w:val="20"/>
          <w:szCs w:val="20"/>
        </w:rPr>
        <w:t>Review of Economics and Statistics</w:t>
      </w:r>
      <w:r w:rsidR="00802EC4" w:rsidRPr="00802EC4">
        <w:rPr>
          <w:sz w:val="20"/>
          <w:szCs w:val="20"/>
        </w:rPr>
        <w:t>, 68</w:t>
      </w:r>
      <w:r>
        <w:rPr>
          <w:sz w:val="20"/>
          <w:szCs w:val="20"/>
        </w:rPr>
        <w:t>(4)</w:t>
      </w:r>
      <w:r w:rsidR="00802EC4" w:rsidRPr="00802EC4">
        <w:rPr>
          <w:sz w:val="20"/>
          <w:szCs w:val="20"/>
        </w:rPr>
        <w:t xml:space="preserve">, </w:t>
      </w:r>
      <w:r>
        <w:rPr>
          <w:sz w:val="20"/>
          <w:szCs w:val="20"/>
        </w:rPr>
        <w:t>pp.</w:t>
      </w:r>
      <w:r w:rsidR="00802EC4" w:rsidRPr="00802EC4">
        <w:rPr>
          <w:sz w:val="20"/>
          <w:szCs w:val="20"/>
        </w:rPr>
        <w:t>715-719.</w:t>
      </w:r>
      <w:proofErr w:type="gramEnd"/>
    </w:p>
    <w:p w:rsidR="00802EC4" w:rsidRPr="00802EC4" w:rsidRDefault="008F0970" w:rsidP="000D3C82">
      <w:pPr>
        <w:ind w:left="360" w:hanging="360"/>
        <w:jc w:val="both"/>
        <w:rPr>
          <w:sz w:val="20"/>
          <w:szCs w:val="20"/>
        </w:rPr>
      </w:pPr>
      <w:proofErr w:type="spellStart"/>
      <w:r>
        <w:rPr>
          <w:sz w:val="20"/>
          <w:szCs w:val="20"/>
        </w:rPr>
        <w:t>Leamer</w:t>
      </w:r>
      <w:proofErr w:type="spellEnd"/>
      <w:r>
        <w:rPr>
          <w:sz w:val="20"/>
          <w:szCs w:val="20"/>
        </w:rPr>
        <w:t xml:space="preserve">, E.E., 1983. </w:t>
      </w:r>
      <w:r w:rsidR="00802EC4" w:rsidRPr="00802EC4">
        <w:rPr>
          <w:sz w:val="20"/>
          <w:szCs w:val="20"/>
        </w:rPr>
        <w:t xml:space="preserve">Let’s </w:t>
      </w:r>
      <w:r w:rsidRPr="00802EC4">
        <w:rPr>
          <w:sz w:val="20"/>
          <w:szCs w:val="20"/>
        </w:rPr>
        <w:t>take the con out of econometrics</w:t>
      </w:r>
      <w:r>
        <w:rPr>
          <w:sz w:val="20"/>
          <w:szCs w:val="20"/>
        </w:rPr>
        <w:t>.</w:t>
      </w:r>
      <w:r w:rsidR="00802EC4" w:rsidRPr="00802EC4">
        <w:rPr>
          <w:sz w:val="20"/>
          <w:szCs w:val="20"/>
        </w:rPr>
        <w:t xml:space="preserve"> </w:t>
      </w:r>
      <w:proofErr w:type="gramStart"/>
      <w:r w:rsidR="00802EC4" w:rsidRPr="008F0970">
        <w:rPr>
          <w:i/>
          <w:sz w:val="20"/>
          <w:szCs w:val="20"/>
        </w:rPr>
        <w:t>American Economic Review</w:t>
      </w:r>
      <w:r>
        <w:rPr>
          <w:sz w:val="20"/>
          <w:szCs w:val="20"/>
        </w:rPr>
        <w:t>, 73(1),</w:t>
      </w:r>
      <w:r w:rsidR="00802EC4" w:rsidRPr="00802EC4">
        <w:rPr>
          <w:sz w:val="20"/>
          <w:szCs w:val="20"/>
        </w:rPr>
        <w:t xml:space="preserve"> </w:t>
      </w:r>
      <w:r>
        <w:rPr>
          <w:sz w:val="20"/>
          <w:szCs w:val="20"/>
        </w:rPr>
        <w:t>pp.</w:t>
      </w:r>
      <w:r w:rsidR="00802EC4" w:rsidRPr="00802EC4">
        <w:rPr>
          <w:sz w:val="20"/>
          <w:szCs w:val="20"/>
        </w:rPr>
        <w:t>31</w:t>
      </w:r>
      <w:r>
        <w:rPr>
          <w:sz w:val="20"/>
          <w:szCs w:val="20"/>
        </w:rPr>
        <w:t>-</w:t>
      </w:r>
      <w:r w:rsidR="00802EC4" w:rsidRPr="00802EC4">
        <w:rPr>
          <w:sz w:val="20"/>
          <w:szCs w:val="20"/>
        </w:rPr>
        <w:t>43.</w:t>
      </w:r>
      <w:proofErr w:type="gramEnd"/>
    </w:p>
    <w:p w:rsidR="00802EC4" w:rsidRPr="00802EC4" w:rsidRDefault="008F0970" w:rsidP="000D3C82">
      <w:pPr>
        <w:ind w:left="360" w:hanging="360"/>
        <w:jc w:val="both"/>
        <w:rPr>
          <w:bCs/>
          <w:sz w:val="20"/>
          <w:szCs w:val="20"/>
        </w:rPr>
      </w:pPr>
      <w:proofErr w:type="spellStart"/>
      <w:r>
        <w:rPr>
          <w:bCs/>
          <w:sz w:val="20"/>
          <w:szCs w:val="20"/>
        </w:rPr>
        <w:t>Revelt</w:t>
      </w:r>
      <w:proofErr w:type="spellEnd"/>
      <w:r>
        <w:rPr>
          <w:bCs/>
          <w:sz w:val="20"/>
          <w:szCs w:val="20"/>
        </w:rPr>
        <w:t>, D.</w:t>
      </w:r>
      <w:r w:rsidR="00802EC4" w:rsidRPr="00802EC4">
        <w:rPr>
          <w:bCs/>
          <w:sz w:val="20"/>
          <w:szCs w:val="20"/>
        </w:rPr>
        <w:t xml:space="preserve"> and Train</w:t>
      </w:r>
      <w:r>
        <w:rPr>
          <w:bCs/>
          <w:sz w:val="20"/>
          <w:szCs w:val="20"/>
        </w:rPr>
        <w:t>,</w:t>
      </w:r>
      <w:r w:rsidRPr="00802EC4">
        <w:rPr>
          <w:bCs/>
          <w:sz w:val="20"/>
          <w:szCs w:val="20"/>
        </w:rPr>
        <w:t xml:space="preserve"> K.</w:t>
      </w:r>
      <w:r>
        <w:rPr>
          <w:bCs/>
          <w:sz w:val="20"/>
          <w:szCs w:val="20"/>
        </w:rPr>
        <w:t xml:space="preserve">E., 1998. </w:t>
      </w:r>
      <w:proofErr w:type="gramStart"/>
      <w:r w:rsidR="00802EC4" w:rsidRPr="00802EC4">
        <w:rPr>
          <w:bCs/>
          <w:sz w:val="20"/>
          <w:szCs w:val="20"/>
        </w:rPr>
        <w:t>Mix</w:t>
      </w:r>
      <w:r>
        <w:rPr>
          <w:bCs/>
          <w:sz w:val="20"/>
          <w:szCs w:val="20"/>
        </w:rPr>
        <w:t xml:space="preserve">ed </w:t>
      </w:r>
      <w:proofErr w:type="spellStart"/>
      <w:r>
        <w:rPr>
          <w:bCs/>
          <w:sz w:val="20"/>
          <w:szCs w:val="20"/>
        </w:rPr>
        <w:t>logit</w:t>
      </w:r>
      <w:proofErr w:type="spellEnd"/>
      <w:r>
        <w:rPr>
          <w:bCs/>
          <w:sz w:val="20"/>
          <w:szCs w:val="20"/>
        </w:rPr>
        <w:t xml:space="preserve"> with repeated choices.</w:t>
      </w:r>
      <w:proofErr w:type="gramEnd"/>
      <w:r w:rsidR="00802EC4" w:rsidRPr="00802EC4">
        <w:rPr>
          <w:bCs/>
          <w:sz w:val="20"/>
          <w:szCs w:val="20"/>
        </w:rPr>
        <w:t xml:space="preserve"> </w:t>
      </w:r>
      <w:proofErr w:type="gramStart"/>
      <w:r w:rsidRPr="008F0970">
        <w:rPr>
          <w:bCs/>
          <w:i/>
          <w:sz w:val="20"/>
          <w:szCs w:val="20"/>
        </w:rPr>
        <w:t>The</w:t>
      </w:r>
      <w:r>
        <w:rPr>
          <w:bCs/>
          <w:sz w:val="20"/>
          <w:szCs w:val="20"/>
        </w:rPr>
        <w:t xml:space="preserve"> </w:t>
      </w:r>
      <w:r w:rsidR="00802EC4" w:rsidRPr="00802EC4">
        <w:rPr>
          <w:bCs/>
          <w:i/>
          <w:sz w:val="20"/>
          <w:szCs w:val="20"/>
        </w:rPr>
        <w:t>Review of Economics and Statistics</w:t>
      </w:r>
      <w:r w:rsidRPr="008F0970">
        <w:rPr>
          <w:bCs/>
          <w:sz w:val="20"/>
          <w:szCs w:val="20"/>
        </w:rPr>
        <w:t>,</w:t>
      </w:r>
      <w:r w:rsidR="00802EC4" w:rsidRPr="00802EC4">
        <w:rPr>
          <w:bCs/>
          <w:sz w:val="20"/>
          <w:szCs w:val="20"/>
        </w:rPr>
        <w:t xml:space="preserve"> 80(4)</w:t>
      </w:r>
      <w:r>
        <w:rPr>
          <w:bCs/>
          <w:sz w:val="20"/>
          <w:szCs w:val="20"/>
        </w:rPr>
        <w:t>, pp.</w:t>
      </w:r>
      <w:r w:rsidR="00802EC4" w:rsidRPr="00802EC4">
        <w:rPr>
          <w:bCs/>
          <w:sz w:val="20"/>
          <w:szCs w:val="20"/>
        </w:rPr>
        <w:t>647</w:t>
      </w:r>
      <w:r>
        <w:rPr>
          <w:bCs/>
          <w:sz w:val="20"/>
          <w:szCs w:val="20"/>
        </w:rPr>
        <w:t>-6</w:t>
      </w:r>
      <w:r w:rsidR="00802EC4" w:rsidRPr="00802EC4">
        <w:rPr>
          <w:bCs/>
          <w:sz w:val="20"/>
          <w:szCs w:val="20"/>
        </w:rPr>
        <w:t>57</w:t>
      </w:r>
      <w:r w:rsidR="00907435">
        <w:rPr>
          <w:bCs/>
          <w:sz w:val="20"/>
          <w:szCs w:val="20"/>
        </w:rPr>
        <w:t>.</w:t>
      </w:r>
      <w:proofErr w:type="gramEnd"/>
    </w:p>
    <w:p w:rsidR="00802EC4" w:rsidRPr="00802EC4" w:rsidRDefault="00802EC4" w:rsidP="000D3C82">
      <w:pPr>
        <w:ind w:left="360" w:hanging="360"/>
        <w:jc w:val="both"/>
        <w:rPr>
          <w:bCs/>
          <w:sz w:val="20"/>
          <w:szCs w:val="20"/>
        </w:rPr>
      </w:pPr>
      <w:proofErr w:type="spellStart"/>
      <w:proofErr w:type="gramStart"/>
      <w:r w:rsidRPr="00802EC4">
        <w:rPr>
          <w:bCs/>
          <w:sz w:val="20"/>
          <w:szCs w:val="20"/>
        </w:rPr>
        <w:t>Scarpa</w:t>
      </w:r>
      <w:proofErr w:type="spellEnd"/>
      <w:r w:rsidRPr="00802EC4">
        <w:rPr>
          <w:bCs/>
          <w:sz w:val="20"/>
          <w:szCs w:val="20"/>
        </w:rPr>
        <w:t>,</w:t>
      </w:r>
      <w:r w:rsidR="008F0970">
        <w:rPr>
          <w:bCs/>
          <w:sz w:val="20"/>
          <w:szCs w:val="20"/>
        </w:rPr>
        <w:t xml:space="preserve"> </w:t>
      </w:r>
      <w:r w:rsidRPr="00802EC4">
        <w:rPr>
          <w:bCs/>
          <w:sz w:val="20"/>
          <w:szCs w:val="20"/>
        </w:rPr>
        <w:t>R</w:t>
      </w:r>
      <w:r w:rsidR="008F0970">
        <w:rPr>
          <w:bCs/>
          <w:sz w:val="20"/>
          <w:szCs w:val="20"/>
        </w:rPr>
        <w:t>.</w:t>
      </w:r>
      <w:r w:rsidRPr="00802EC4">
        <w:rPr>
          <w:bCs/>
          <w:sz w:val="20"/>
          <w:szCs w:val="20"/>
        </w:rPr>
        <w:t>,</w:t>
      </w:r>
      <w:r w:rsidR="00863995">
        <w:rPr>
          <w:bCs/>
          <w:sz w:val="20"/>
          <w:szCs w:val="20"/>
        </w:rPr>
        <w:t xml:space="preserve"> </w:t>
      </w:r>
      <w:proofErr w:type="spellStart"/>
      <w:r w:rsidRPr="00802EC4">
        <w:rPr>
          <w:bCs/>
          <w:sz w:val="20"/>
          <w:szCs w:val="20"/>
        </w:rPr>
        <w:t>Thiene</w:t>
      </w:r>
      <w:proofErr w:type="spellEnd"/>
      <w:r w:rsidRPr="00802EC4">
        <w:rPr>
          <w:bCs/>
          <w:sz w:val="20"/>
          <w:szCs w:val="20"/>
        </w:rPr>
        <w:t>,</w:t>
      </w:r>
      <w:r w:rsidR="008F0970">
        <w:rPr>
          <w:bCs/>
          <w:sz w:val="20"/>
          <w:szCs w:val="20"/>
        </w:rPr>
        <w:t xml:space="preserve"> </w:t>
      </w:r>
      <w:r w:rsidR="008F0970" w:rsidRPr="00802EC4">
        <w:rPr>
          <w:bCs/>
          <w:sz w:val="20"/>
          <w:szCs w:val="20"/>
        </w:rPr>
        <w:t>M</w:t>
      </w:r>
      <w:r w:rsidR="008F0970">
        <w:rPr>
          <w:bCs/>
          <w:sz w:val="20"/>
          <w:szCs w:val="20"/>
        </w:rPr>
        <w:t>. a</w:t>
      </w:r>
      <w:r w:rsidRPr="00802EC4">
        <w:rPr>
          <w:bCs/>
          <w:sz w:val="20"/>
          <w:szCs w:val="20"/>
        </w:rPr>
        <w:t>nd Train</w:t>
      </w:r>
      <w:r w:rsidR="008F0970">
        <w:rPr>
          <w:bCs/>
          <w:sz w:val="20"/>
          <w:szCs w:val="20"/>
        </w:rPr>
        <w:t xml:space="preserve">, </w:t>
      </w:r>
      <w:r w:rsidR="008F0970" w:rsidRPr="00802EC4">
        <w:rPr>
          <w:bCs/>
          <w:sz w:val="20"/>
          <w:szCs w:val="20"/>
        </w:rPr>
        <w:t>K</w:t>
      </w:r>
      <w:r w:rsidR="008F0970">
        <w:rPr>
          <w:bCs/>
          <w:sz w:val="20"/>
          <w:szCs w:val="20"/>
        </w:rPr>
        <w:t>.E., 2008</w:t>
      </w:r>
      <w:r w:rsidRPr="00802EC4">
        <w:rPr>
          <w:bCs/>
          <w:sz w:val="20"/>
          <w:szCs w:val="20"/>
        </w:rPr>
        <w:t>.</w:t>
      </w:r>
      <w:proofErr w:type="gramEnd"/>
      <w:r w:rsidRPr="00802EC4">
        <w:rPr>
          <w:bCs/>
          <w:sz w:val="20"/>
          <w:szCs w:val="20"/>
        </w:rPr>
        <w:t xml:space="preserve"> Utility </w:t>
      </w:r>
      <w:r w:rsidR="00261C97" w:rsidRPr="00802EC4">
        <w:rPr>
          <w:bCs/>
          <w:sz w:val="20"/>
          <w:szCs w:val="20"/>
        </w:rPr>
        <w:t xml:space="preserve">in willingness to pay space: a tool to address confounding random scale effects in destination choice to the </w:t>
      </w:r>
      <w:r w:rsidRPr="00802EC4">
        <w:rPr>
          <w:bCs/>
          <w:sz w:val="20"/>
          <w:szCs w:val="20"/>
        </w:rPr>
        <w:t xml:space="preserve">Alps. </w:t>
      </w:r>
      <w:proofErr w:type="gramStart"/>
      <w:r w:rsidR="00261C97" w:rsidRPr="00261C97">
        <w:rPr>
          <w:bCs/>
          <w:i/>
          <w:sz w:val="20"/>
          <w:szCs w:val="20"/>
        </w:rPr>
        <w:t>American Journal of Agricultural Economics</w:t>
      </w:r>
      <w:r w:rsidR="00261C97">
        <w:rPr>
          <w:bCs/>
          <w:sz w:val="20"/>
          <w:szCs w:val="20"/>
        </w:rPr>
        <w:t>,</w:t>
      </w:r>
      <w:r w:rsidRPr="00802EC4">
        <w:rPr>
          <w:bCs/>
          <w:sz w:val="20"/>
          <w:szCs w:val="20"/>
        </w:rPr>
        <w:t xml:space="preserve"> 90(4)</w:t>
      </w:r>
      <w:r w:rsidR="00261C97">
        <w:rPr>
          <w:bCs/>
          <w:sz w:val="20"/>
          <w:szCs w:val="20"/>
        </w:rPr>
        <w:t>,</w:t>
      </w:r>
      <w:r w:rsidRPr="00802EC4">
        <w:rPr>
          <w:bCs/>
          <w:sz w:val="20"/>
          <w:szCs w:val="20"/>
        </w:rPr>
        <w:t xml:space="preserve"> </w:t>
      </w:r>
      <w:r w:rsidR="00261C97">
        <w:rPr>
          <w:bCs/>
          <w:sz w:val="20"/>
          <w:szCs w:val="20"/>
        </w:rPr>
        <w:t>pp.</w:t>
      </w:r>
      <w:r w:rsidRPr="00802EC4">
        <w:rPr>
          <w:bCs/>
          <w:sz w:val="20"/>
          <w:szCs w:val="20"/>
        </w:rPr>
        <w:t>994</w:t>
      </w:r>
      <w:r w:rsidR="00261C97">
        <w:rPr>
          <w:bCs/>
          <w:sz w:val="20"/>
          <w:szCs w:val="20"/>
        </w:rPr>
        <w:t>-</w:t>
      </w:r>
      <w:r w:rsidRPr="00802EC4">
        <w:rPr>
          <w:bCs/>
          <w:sz w:val="20"/>
          <w:szCs w:val="20"/>
        </w:rPr>
        <w:t>1010.</w:t>
      </w:r>
      <w:proofErr w:type="gramEnd"/>
    </w:p>
    <w:p w:rsidR="00802EC4" w:rsidRPr="00802EC4" w:rsidRDefault="005C5BBE" w:rsidP="000D3C82">
      <w:pPr>
        <w:ind w:left="360" w:hanging="360"/>
        <w:jc w:val="both"/>
        <w:rPr>
          <w:bCs/>
          <w:sz w:val="20"/>
          <w:szCs w:val="20"/>
        </w:rPr>
      </w:pPr>
      <w:proofErr w:type="spellStart"/>
      <w:proofErr w:type="gramStart"/>
      <w:r>
        <w:rPr>
          <w:bCs/>
          <w:sz w:val="20"/>
          <w:szCs w:val="20"/>
        </w:rPr>
        <w:t>Sillano</w:t>
      </w:r>
      <w:proofErr w:type="spellEnd"/>
      <w:r>
        <w:rPr>
          <w:bCs/>
          <w:sz w:val="20"/>
          <w:szCs w:val="20"/>
        </w:rPr>
        <w:t>, M. and Ortúzar, J.d</w:t>
      </w:r>
      <w:bookmarkStart w:id="1" w:name="_GoBack"/>
      <w:bookmarkEnd w:id="1"/>
      <w:r>
        <w:rPr>
          <w:bCs/>
          <w:sz w:val="20"/>
          <w:szCs w:val="20"/>
        </w:rPr>
        <w:t xml:space="preserve">e </w:t>
      </w:r>
      <w:r w:rsidR="00802EC4" w:rsidRPr="00802EC4">
        <w:rPr>
          <w:bCs/>
          <w:sz w:val="20"/>
          <w:szCs w:val="20"/>
        </w:rPr>
        <w:t>D.</w:t>
      </w:r>
      <w:r>
        <w:rPr>
          <w:bCs/>
          <w:sz w:val="20"/>
          <w:szCs w:val="20"/>
        </w:rPr>
        <w:t>, 2005</w:t>
      </w:r>
      <w:r w:rsidR="00802EC4" w:rsidRPr="00802EC4">
        <w:rPr>
          <w:bCs/>
          <w:sz w:val="20"/>
          <w:szCs w:val="20"/>
        </w:rPr>
        <w:t>.</w:t>
      </w:r>
      <w:proofErr w:type="gramEnd"/>
      <w:r w:rsidR="00802EC4" w:rsidRPr="00802EC4">
        <w:rPr>
          <w:bCs/>
          <w:sz w:val="20"/>
          <w:szCs w:val="20"/>
        </w:rPr>
        <w:t xml:space="preserve"> Willingness-to-pay estimation with mixed </w:t>
      </w:r>
      <w:proofErr w:type="spellStart"/>
      <w:r w:rsidR="00802EC4" w:rsidRPr="00802EC4">
        <w:rPr>
          <w:bCs/>
          <w:sz w:val="20"/>
          <w:szCs w:val="20"/>
        </w:rPr>
        <w:t>logit</w:t>
      </w:r>
      <w:proofErr w:type="spellEnd"/>
      <w:r w:rsidR="00802EC4" w:rsidRPr="00802EC4">
        <w:rPr>
          <w:bCs/>
          <w:sz w:val="20"/>
          <w:szCs w:val="20"/>
        </w:rPr>
        <w:t xml:space="preserve"> models: some new evidence. </w:t>
      </w:r>
      <w:r w:rsidR="00802EC4" w:rsidRPr="005C5BBE">
        <w:rPr>
          <w:bCs/>
          <w:i/>
          <w:sz w:val="20"/>
          <w:szCs w:val="20"/>
        </w:rPr>
        <w:t>Environment and Planning</w:t>
      </w:r>
      <w:r w:rsidRPr="005C5BBE">
        <w:rPr>
          <w:bCs/>
          <w:i/>
          <w:sz w:val="20"/>
          <w:szCs w:val="20"/>
        </w:rPr>
        <w:t xml:space="preserve"> A</w:t>
      </w:r>
      <w:r>
        <w:rPr>
          <w:bCs/>
          <w:sz w:val="20"/>
          <w:szCs w:val="20"/>
        </w:rPr>
        <w:t>,</w:t>
      </w:r>
      <w:r w:rsidR="00802EC4" w:rsidRPr="00802EC4">
        <w:rPr>
          <w:bCs/>
          <w:sz w:val="20"/>
          <w:szCs w:val="20"/>
        </w:rPr>
        <w:t xml:space="preserve"> 37(3), </w:t>
      </w:r>
      <w:r>
        <w:rPr>
          <w:bCs/>
          <w:sz w:val="20"/>
          <w:szCs w:val="20"/>
        </w:rPr>
        <w:t>pp.</w:t>
      </w:r>
      <w:r w:rsidR="00802EC4" w:rsidRPr="00802EC4">
        <w:rPr>
          <w:bCs/>
          <w:sz w:val="20"/>
          <w:szCs w:val="20"/>
        </w:rPr>
        <w:t>525-550.</w:t>
      </w:r>
    </w:p>
    <w:p w:rsidR="00802EC4" w:rsidRPr="00802EC4" w:rsidRDefault="00802EC4" w:rsidP="000D3C82">
      <w:pPr>
        <w:ind w:left="360" w:hanging="360"/>
        <w:jc w:val="both"/>
        <w:rPr>
          <w:bCs/>
          <w:sz w:val="20"/>
          <w:szCs w:val="20"/>
        </w:rPr>
      </w:pPr>
      <w:r w:rsidRPr="00802EC4">
        <w:rPr>
          <w:bCs/>
          <w:sz w:val="20"/>
          <w:szCs w:val="20"/>
        </w:rPr>
        <w:t>Spissu, E., Pinjari,</w:t>
      </w:r>
      <w:r w:rsidR="005C5BBE" w:rsidRPr="00802EC4">
        <w:rPr>
          <w:bCs/>
          <w:sz w:val="20"/>
          <w:szCs w:val="20"/>
        </w:rPr>
        <w:t xml:space="preserve"> A.R.</w:t>
      </w:r>
      <w:r w:rsidR="005C5BBE">
        <w:rPr>
          <w:bCs/>
          <w:sz w:val="20"/>
          <w:szCs w:val="20"/>
        </w:rPr>
        <w:t>,</w:t>
      </w:r>
      <w:r w:rsidRPr="00802EC4">
        <w:rPr>
          <w:bCs/>
          <w:sz w:val="20"/>
          <w:szCs w:val="20"/>
        </w:rPr>
        <w:t xml:space="preserve"> Pendyala,</w:t>
      </w:r>
      <w:r w:rsidR="005C5BBE" w:rsidRPr="00802EC4">
        <w:rPr>
          <w:bCs/>
          <w:sz w:val="20"/>
          <w:szCs w:val="20"/>
        </w:rPr>
        <w:t xml:space="preserve"> R.M.</w:t>
      </w:r>
      <w:r w:rsidRPr="00802EC4">
        <w:rPr>
          <w:bCs/>
          <w:sz w:val="20"/>
          <w:szCs w:val="20"/>
        </w:rPr>
        <w:t xml:space="preserve"> and Bhat</w:t>
      </w:r>
      <w:r w:rsidR="005C5BBE">
        <w:rPr>
          <w:bCs/>
          <w:sz w:val="20"/>
          <w:szCs w:val="20"/>
        </w:rPr>
        <w:t>,</w:t>
      </w:r>
      <w:r w:rsidR="005C5BBE" w:rsidRPr="00802EC4">
        <w:rPr>
          <w:bCs/>
          <w:sz w:val="20"/>
          <w:szCs w:val="20"/>
        </w:rPr>
        <w:t xml:space="preserve"> C.R.</w:t>
      </w:r>
      <w:r w:rsidR="005C5BBE">
        <w:rPr>
          <w:bCs/>
          <w:sz w:val="20"/>
          <w:szCs w:val="20"/>
        </w:rPr>
        <w:t>, 2009</w:t>
      </w:r>
      <w:r w:rsidRPr="00802EC4">
        <w:rPr>
          <w:bCs/>
          <w:sz w:val="20"/>
          <w:szCs w:val="20"/>
        </w:rPr>
        <w:t xml:space="preserve">. </w:t>
      </w:r>
      <w:proofErr w:type="gramStart"/>
      <w:r w:rsidRPr="00802EC4">
        <w:rPr>
          <w:bCs/>
          <w:sz w:val="20"/>
          <w:szCs w:val="20"/>
        </w:rPr>
        <w:t xml:space="preserve">A </w:t>
      </w:r>
      <w:r w:rsidR="005C5BBE">
        <w:rPr>
          <w:bCs/>
          <w:sz w:val="20"/>
          <w:szCs w:val="20"/>
        </w:rPr>
        <w:t>c</w:t>
      </w:r>
      <w:r w:rsidRPr="00802EC4">
        <w:rPr>
          <w:bCs/>
          <w:sz w:val="20"/>
          <w:szCs w:val="20"/>
        </w:rPr>
        <w:t>opula-</w:t>
      </w:r>
      <w:r w:rsidR="005C5BBE">
        <w:rPr>
          <w:bCs/>
          <w:sz w:val="20"/>
          <w:szCs w:val="20"/>
        </w:rPr>
        <w:t>b</w:t>
      </w:r>
      <w:r w:rsidRPr="00802EC4">
        <w:rPr>
          <w:bCs/>
          <w:sz w:val="20"/>
          <w:szCs w:val="20"/>
        </w:rPr>
        <w:t xml:space="preserve">ased </w:t>
      </w:r>
      <w:r w:rsidR="005C5BBE" w:rsidRPr="00802EC4">
        <w:rPr>
          <w:bCs/>
          <w:sz w:val="20"/>
          <w:szCs w:val="20"/>
        </w:rPr>
        <w:t>joint multinomial discrete-continuous model of vehicle type choice and miles of travel</w:t>
      </w:r>
      <w:r w:rsidRPr="00802EC4">
        <w:rPr>
          <w:bCs/>
          <w:sz w:val="20"/>
          <w:szCs w:val="20"/>
        </w:rPr>
        <w:t>.</w:t>
      </w:r>
      <w:proofErr w:type="gramEnd"/>
      <w:r w:rsidRPr="00802EC4">
        <w:rPr>
          <w:bCs/>
          <w:sz w:val="20"/>
          <w:szCs w:val="20"/>
        </w:rPr>
        <w:t xml:space="preserve"> </w:t>
      </w:r>
      <w:proofErr w:type="gramStart"/>
      <w:r w:rsidRPr="006A4013">
        <w:rPr>
          <w:bCs/>
          <w:i/>
          <w:sz w:val="20"/>
          <w:szCs w:val="20"/>
        </w:rPr>
        <w:t>Transportation</w:t>
      </w:r>
      <w:r w:rsidRPr="00802EC4">
        <w:rPr>
          <w:bCs/>
          <w:sz w:val="20"/>
          <w:szCs w:val="20"/>
        </w:rPr>
        <w:t>, 36</w:t>
      </w:r>
      <w:r w:rsidR="006A4013">
        <w:rPr>
          <w:bCs/>
          <w:sz w:val="20"/>
          <w:szCs w:val="20"/>
        </w:rPr>
        <w:t>(</w:t>
      </w:r>
      <w:r w:rsidRPr="00802EC4">
        <w:rPr>
          <w:bCs/>
          <w:sz w:val="20"/>
          <w:szCs w:val="20"/>
        </w:rPr>
        <w:t>4</w:t>
      </w:r>
      <w:r w:rsidR="006A4013">
        <w:rPr>
          <w:bCs/>
          <w:sz w:val="20"/>
          <w:szCs w:val="20"/>
        </w:rPr>
        <w:t>)</w:t>
      </w:r>
      <w:r w:rsidRPr="00802EC4">
        <w:rPr>
          <w:bCs/>
          <w:sz w:val="20"/>
          <w:szCs w:val="20"/>
        </w:rPr>
        <w:t>, pp</w:t>
      </w:r>
      <w:r w:rsidR="006A4013">
        <w:rPr>
          <w:bCs/>
          <w:sz w:val="20"/>
          <w:szCs w:val="20"/>
        </w:rPr>
        <w:t>.</w:t>
      </w:r>
      <w:r w:rsidRPr="00802EC4">
        <w:rPr>
          <w:bCs/>
          <w:sz w:val="20"/>
          <w:szCs w:val="20"/>
        </w:rPr>
        <w:t>403-422.</w:t>
      </w:r>
      <w:proofErr w:type="gramEnd"/>
    </w:p>
    <w:p w:rsidR="00802EC4" w:rsidRPr="00802EC4" w:rsidRDefault="006A4013" w:rsidP="000D3C82">
      <w:pPr>
        <w:ind w:left="360" w:hanging="360"/>
        <w:jc w:val="both"/>
        <w:rPr>
          <w:bCs/>
          <w:sz w:val="20"/>
          <w:szCs w:val="20"/>
        </w:rPr>
      </w:pPr>
      <w:proofErr w:type="spellStart"/>
      <w:proofErr w:type="gramStart"/>
      <w:r>
        <w:rPr>
          <w:bCs/>
          <w:sz w:val="20"/>
          <w:szCs w:val="20"/>
        </w:rPr>
        <w:t>Steimetz</w:t>
      </w:r>
      <w:proofErr w:type="spellEnd"/>
      <w:r>
        <w:rPr>
          <w:bCs/>
          <w:sz w:val="20"/>
          <w:szCs w:val="20"/>
        </w:rPr>
        <w:t>, S.</w:t>
      </w:r>
      <w:r w:rsidR="00802EC4" w:rsidRPr="00802EC4">
        <w:rPr>
          <w:bCs/>
          <w:sz w:val="20"/>
          <w:szCs w:val="20"/>
        </w:rPr>
        <w:t xml:space="preserve"> and Brownstone</w:t>
      </w:r>
      <w:r>
        <w:rPr>
          <w:bCs/>
          <w:sz w:val="20"/>
          <w:szCs w:val="20"/>
        </w:rPr>
        <w:t>,</w:t>
      </w:r>
      <w:r w:rsidRPr="00802EC4">
        <w:rPr>
          <w:bCs/>
          <w:sz w:val="20"/>
          <w:szCs w:val="20"/>
        </w:rPr>
        <w:t xml:space="preserve"> D.</w:t>
      </w:r>
      <w:r>
        <w:rPr>
          <w:bCs/>
          <w:sz w:val="20"/>
          <w:szCs w:val="20"/>
        </w:rPr>
        <w:t>, 2005</w:t>
      </w:r>
      <w:r w:rsidR="00802EC4" w:rsidRPr="00802EC4">
        <w:rPr>
          <w:bCs/>
          <w:sz w:val="20"/>
          <w:szCs w:val="20"/>
        </w:rPr>
        <w:t>.</w:t>
      </w:r>
      <w:proofErr w:type="gramEnd"/>
      <w:r w:rsidR="00802EC4" w:rsidRPr="00802EC4">
        <w:rPr>
          <w:bCs/>
          <w:sz w:val="20"/>
          <w:szCs w:val="20"/>
        </w:rPr>
        <w:t xml:space="preserve"> </w:t>
      </w:r>
      <w:proofErr w:type="gramStart"/>
      <w:r w:rsidR="00802EC4" w:rsidRPr="00802EC4">
        <w:rPr>
          <w:bCs/>
          <w:sz w:val="20"/>
          <w:szCs w:val="20"/>
        </w:rPr>
        <w:t xml:space="preserve">Estimating </w:t>
      </w:r>
      <w:r w:rsidRPr="00802EC4">
        <w:rPr>
          <w:bCs/>
          <w:sz w:val="20"/>
          <w:szCs w:val="20"/>
        </w:rPr>
        <w:t>commuters’ “value of time” with noisy data: a multiple imputation approach</w:t>
      </w:r>
      <w:r>
        <w:rPr>
          <w:bCs/>
          <w:sz w:val="20"/>
          <w:szCs w:val="20"/>
        </w:rPr>
        <w:t>.</w:t>
      </w:r>
      <w:proofErr w:type="gramEnd"/>
      <w:r w:rsidR="00802EC4" w:rsidRPr="00802EC4">
        <w:rPr>
          <w:bCs/>
          <w:sz w:val="20"/>
          <w:szCs w:val="20"/>
        </w:rPr>
        <w:t xml:space="preserve"> </w:t>
      </w:r>
      <w:proofErr w:type="gramStart"/>
      <w:r w:rsidR="00802EC4" w:rsidRPr="006A4013">
        <w:rPr>
          <w:bCs/>
          <w:i/>
          <w:sz w:val="20"/>
          <w:szCs w:val="20"/>
        </w:rPr>
        <w:t xml:space="preserve">Transportation Research </w:t>
      </w:r>
      <w:r w:rsidRPr="006A4013">
        <w:rPr>
          <w:bCs/>
          <w:i/>
          <w:sz w:val="20"/>
          <w:szCs w:val="20"/>
        </w:rPr>
        <w:t xml:space="preserve">Part </w:t>
      </w:r>
      <w:r w:rsidR="00802EC4" w:rsidRPr="006A4013">
        <w:rPr>
          <w:bCs/>
          <w:i/>
          <w:sz w:val="20"/>
          <w:szCs w:val="20"/>
        </w:rPr>
        <w:t>B</w:t>
      </w:r>
      <w:r w:rsidR="00802EC4" w:rsidRPr="00802EC4">
        <w:rPr>
          <w:bCs/>
          <w:sz w:val="20"/>
          <w:szCs w:val="20"/>
        </w:rPr>
        <w:t>, 39</w:t>
      </w:r>
      <w:r>
        <w:rPr>
          <w:bCs/>
          <w:sz w:val="20"/>
          <w:szCs w:val="20"/>
        </w:rPr>
        <w:t>(10)</w:t>
      </w:r>
      <w:r w:rsidR="00802EC4" w:rsidRPr="00802EC4">
        <w:rPr>
          <w:bCs/>
          <w:sz w:val="20"/>
          <w:szCs w:val="20"/>
        </w:rPr>
        <w:t xml:space="preserve">, </w:t>
      </w:r>
      <w:r>
        <w:rPr>
          <w:bCs/>
          <w:sz w:val="20"/>
          <w:szCs w:val="20"/>
        </w:rPr>
        <w:t>pp.</w:t>
      </w:r>
      <w:r w:rsidR="00802EC4" w:rsidRPr="00802EC4">
        <w:rPr>
          <w:bCs/>
          <w:sz w:val="20"/>
          <w:szCs w:val="20"/>
        </w:rPr>
        <w:t>865-889.</w:t>
      </w:r>
      <w:proofErr w:type="gramEnd"/>
      <w:r w:rsidR="00802EC4" w:rsidRPr="00802EC4">
        <w:rPr>
          <w:bCs/>
          <w:sz w:val="20"/>
          <w:szCs w:val="20"/>
        </w:rPr>
        <w:t xml:space="preserve"> </w:t>
      </w:r>
    </w:p>
    <w:p w:rsidR="00B71137" w:rsidRDefault="00802EC4" w:rsidP="000D3C82">
      <w:pPr>
        <w:ind w:left="360" w:hanging="360"/>
        <w:jc w:val="both"/>
        <w:rPr>
          <w:bCs/>
          <w:sz w:val="20"/>
          <w:szCs w:val="20"/>
        </w:rPr>
      </w:pPr>
      <w:proofErr w:type="gramStart"/>
      <w:r w:rsidRPr="00802EC4">
        <w:rPr>
          <w:bCs/>
          <w:sz w:val="20"/>
          <w:szCs w:val="20"/>
        </w:rPr>
        <w:t>Train, K.</w:t>
      </w:r>
      <w:r w:rsidR="006A4013">
        <w:rPr>
          <w:bCs/>
          <w:sz w:val="20"/>
          <w:szCs w:val="20"/>
        </w:rPr>
        <w:t>E., 2009.</w:t>
      </w:r>
      <w:proofErr w:type="gramEnd"/>
      <w:r w:rsidRPr="00802EC4">
        <w:rPr>
          <w:bCs/>
          <w:sz w:val="20"/>
          <w:szCs w:val="20"/>
        </w:rPr>
        <w:t xml:space="preserve"> </w:t>
      </w:r>
      <w:proofErr w:type="gramStart"/>
      <w:r w:rsidR="006A4013" w:rsidRPr="006A4013">
        <w:rPr>
          <w:bCs/>
          <w:i/>
          <w:sz w:val="20"/>
          <w:szCs w:val="20"/>
        </w:rPr>
        <w:t>Discrete Choice Methods with Simulation</w:t>
      </w:r>
      <w:r w:rsidRPr="00802EC4">
        <w:rPr>
          <w:bCs/>
          <w:sz w:val="20"/>
          <w:szCs w:val="20"/>
        </w:rPr>
        <w:t>.</w:t>
      </w:r>
      <w:proofErr w:type="gramEnd"/>
      <w:r w:rsidRPr="00802EC4">
        <w:rPr>
          <w:bCs/>
          <w:sz w:val="20"/>
          <w:szCs w:val="20"/>
        </w:rPr>
        <w:t xml:space="preserve"> 2</w:t>
      </w:r>
      <w:r w:rsidRPr="00802EC4">
        <w:rPr>
          <w:bCs/>
          <w:sz w:val="20"/>
          <w:szCs w:val="20"/>
          <w:vertAlign w:val="superscript"/>
        </w:rPr>
        <w:t>nd</w:t>
      </w:r>
      <w:r w:rsidR="00B71137">
        <w:rPr>
          <w:bCs/>
          <w:sz w:val="20"/>
          <w:szCs w:val="20"/>
        </w:rPr>
        <w:t xml:space="preserve"> e</w:t>
      </w:r>
      <w:r w:rsidRPr="00802EC4">
        <w:rPr>
          <w:bCs/>
          <w:sz w:val="20"/>
          <w:szCs w:val="20"/>
        </w:rPr>
        <w:t>d</w:t>
      </w:r>
      <w:r w:rsidR="00B71137">
        <w:rPr>
          <w:bCs/>
          <w:sz w:val="20"/>
          <w:szCs w:val="20"/>
        </w:rPr>
        <w:t>.</w:t>
      </w:r>
      <w:r w:rsidRPr="00802EC4">
        <w:rPr>
          <w:bCs/>
          <w:sz w:val="20"/>
          <w:szCs w:val="20"/>
        </w:rPr>
        <w:t xml:space="preserve"> </w:t>
      </w:r>
      <w:r w:rsidR="00B71137">
        <w:rPr>
          <w:bCs/>
          <w:sz w:val="20"/>
          <w:szCs w:val="20"/>
        </w:rPr>
        <w:t xml:space="preserve">Cambridge: </w:t>
      </w:r>
      <w:r w:rsidRPr="00802EC4">
        <w:rPr>
          <w:bCs/>
          <w:sz w:val="20"/>
          <w:szCs w:val="20"/>
        </w:rPr>
        <w:t>Cambridge University Press.</w:t>
      </w:r>
      <w:r w:rsidR="00863995">
        <w:rPr>
          <w:bCs/>
          <w:sz w:val="20"/>
          <w:szCs w:val="20"/>
        </w:rPr>
        <w:t xml:space="preserve"> </w:t>
      </w:r>
    </w:p>
    <w:p w:rsidR="00802EC4" w:rsidRPr="00802EC4" w:rsidRDefault="00802EC4" w:rsidP="000D3C82">
      <w:pPr>
        <w:ind w:left="360" w:hanging="360"/>
        <w:jc w:val="both"/>
        <w:rPr>
          <w:bCs/>
          <w:sz w:val="20"/>
          <w:szCs w:val="20"/>
        </w:rPr>
      </w:pPr>
      <w:proofErr w:type="gramStart"/>
      <w:r w:rsidRPr="00802EC4">
        <w:rPr>
          <w:bCs/>
          <w:sz w:val="20"/>
          <w:szCs w:val="20"/>
        </w:rPr>
        <w:t>Wang, X</w:t>
      </w:r>
      <w:r w:rsidR="00F65D6E">
        <w:rPr>
          <w:bCs/>
          <w:sz w:val="20"/>
          <w:szCs w:val="20"/>
        </w:rPr>
        <w:t>.</w:t>
      </w:r>
      <w:r w:rsidRPr="00802EC4">
        <w:rPr>
          <w:bCs/>
          <w:sz w:val="20"/>
          <w:szCs w:val="20"/>
        </w:rPr>
        <w:t xml:space="preserve"> and </w:t>
      </w:r>
      <w:r w:rsidR="00F65D6E">
        <w:rPr>
          <w:bCs/>
          <w:sz w:val="20"/>
          <w:szCs w:val="20"/>
        </w:rPr>
        <w:t>Kockelman, K.M., 2009</w:t>
      </w:r>
      <w:r w:rsidR="00F84FA7">
        <w:rPr>
          <w:bCs/>
          <w:sz w:val="20"/>
          <w:szCs w:val="20"/>
        </w:rPr>
        <w:t>.</w:t>
      </w:r>
      <w:proofErr w:type="gramEnd"/>
      <w:r w:rsidR="00F84FA7">
        <w:rPr>
          <w:bCs/>
          <w:sz w:val="20"/>
          <w:szCs w:val="20"/>
        </w:rPr>
        <w:t xml:space="preserve"> </w:t>
      </w:r>
      <w:proofErr w:type="gramStart"/>
      <w:r w:rsidRPr="00802EC4">
        <w:rPr>
          <w:bCs/>
          <w:sz w:val="20"/>
          <w:szCs w:val="20"/>
        </w:rPr>
        <w:t xml:space="preserve">Bayesian </w:t>
      </w:r>
      <w:r w:rsidR="00F84FA7" w:rsidRPr="00802EC4">
        <w:rPr>
          <w:bCs/>
          <w:sz w:val="20"/>
          <w:szCs w:val="20"/>
        </w:rPr>
        <w:t>inference for ordered response data with a dynami</w:t>
      </w:r>
      <w:r w:rsidR="00F84FA7">
        <w:rPr>
          <w:bCs/>
          <w:sz w:val="20"/>
          <w:szCs w:val="20"/>
        </w:rPr>
        <w:t xml:space="preserve">c spatial-ordered </w:t>
      </w:r>
      <w:proofErr w:type="spellStart"/>
      <w:r w:rsidR="00F84FA7">
        <w:rPr>
          <w:bCs/>
          <w:sz w:val="20"/>
          <w:szCs w:val="20"/>
        </w:rPr>
        <w:t>probit</w:t>
      </w:r>
      <w:proofErr w:type="spellEnd"/>
      <w:r w:rsidR="00F84FA7">
        <w:rPr>
          <w:bCs/>
          <w:sz w:val="20"/>
          <w:szCs w:val="20"/>
        </w:rPr>
        <w:t xml:space="preserve"> model.</w:t>
      </w:r>
      <w:proofErr w:type="gramEnd"/>
      <w:r w:rsidRPr="00802EC4">
        <w:rPr>
          <w:bCs/>
          <w:sz w:val="20"/>
          <w:szCs w:val="20"/>
        </w:rPr>
        <w:t xml:space="preserve"> </w:t>
      </w:r>
      <w:proofErr w:type="gramStart"/>
      <w:r w:rsidRPr="00F84FA7">
        <w:rPr>
          <w:bCs/>
          <w:i/>
          <w:sz w:val="20"/>
          <w:szCs w:val="20"/>
        </w:rPr>
        <w:t>Journal of Regional Science</w:t>
      </w:r>
      <w:r w:rsidR="00F84FA7">
        <w:rPr>
          <w:bCs/>
          <w:sz w:val="20"/>
          <w:szCs w:val="20"/>
        </w:rPr>
        <w:t>, 49(5), pp.</w:t>
      </w:r>
      <w:r w:rsidRPr="00802EC4">
        <w:rPr>
          <w:bCs/>
          <w:sz w:val="20"/>
          <w:szCs w:val="20"/>
        </w:rPr>
        <w:t>877-913.</w:t>
      </w:r>
      <w:proofErr w:type="gramEnd"/>
    </w:p>
    <w:p w:rsidR="00802EC4" w:rsidRPr="00802EC4" w:rsidRDefault="00802EC4" w:rsidP="000D3C82">
      <w:pPr>
        <w:ind w:left="360" w:hanging="360"/>
        <w:jc w:val="both"/>
        <w:rPr>
          <w:bCs/>
          <w:sz w:val="20"/>
          <w:szCs w:val="20"/>
        </w:rPr>
      </w:pPr>
      <w:smartTag w:uri="urn:schemas-microsoft-com:office:smarttags" w:element="State">
        <w:smartTag w:uri="urn:schemas-microsoft-com:office:smarttags" w:element="place">
          <w:r w:rsidRPr="00802EC4">
            <w:rPr>
              <w:bCs/>
              <w:sz w:val="20"/>
              <w:szCs w:val="20"/>
            </w:rPr>
            <w:t>Washington</w:t>
          </w:r>
        </w:smartTag>
      </w:smartTag>
      <w:r w:rsidRPr="00802EC4">
        <w:rPr>
          <w:bCs/>
          <w:sz w:val="20"/>
          <w:szCs w:val="20"/>
        </w:rPr>
        <w:t>, S., Ravulaparthy, S., Rose, J., Hensher, D.A., Pendyala, R.</w:t>
      </w:r>
      <w:r w:rsidR="004450ED">
        <w:rPr>
          <w:bCs/>
          <w:sz w:val="20"/>
          <w:szCs w:val="20"/>
        </w:rPr>
        <w:t>M.</w:t>
      </w:r>
      <w:r w:rsidRPr="00802EC4">
        <w:rPr>
          <w:bCs/>
          <w:sz w:val="20"/>
          <w:szCs w:val="20"/>
        </w:rPr>
        <w:t xml:space="preserve"> and Konduri, K.</w:t>
      </w:r>
      <w:r w:rsidR="004450ED">
        <w:rPr>
          <w:bCs/>
          <w:sz w:val="20"/>
          <w:szCs w:val="20"/>
        </w:rPr>
        <w:t>C., 2009</w:t>
      </w:r>
      <w:r w:rsidRPr="00802EC4">
        <w:rPr>
          <w:bCs/>
          <w:sz w:val="20"/>
          <w:szCs w:val="20"/>
        </w:rPr>
        <w:t xml:space="preserve">. Bayesian </w:t>
      </w:r>
      <w:proofErr w:type="gramStart"/>
      <w:r w:rsidR="00611D70" w:rsidRPr="00802EC4">
        <w:rPr>
          <w:bCs/>
          <w:sz w:val="20"/>
          <w:szCs w:val="20"/>
        </w:rPr>
        <w:t>imputation of non-chosen attribute</w:t>
      </w:r>
      <w:proofErr w:type="gramEnd"/>
      <w:r w:rsidR="00611D70" w:rsidRPr="00802EC4">
        <w:rPr>
          <w:bCs/>
          <w:sz w:val="20"/>
          <w:szCs w:val="20"/>
        </w:rPr>
        <w:t xml:space="preserve"> values in revealed preference surveys</w:t>
      </w:r>
      <w:r w:rsidR="00611D70">
        <w:rPr>
          <w:bCs/>
          <w:sz w:val="20"/>
          <w:szCs w:val="20"/>
        </w:rPr>
        <w:t>.</w:t>
      </w:r>
      <w:r w:rsidRPr="00802EC4">
        <w:rPr>
          <w:bCs/>
          <w:sz w:val="20"/>
          <w:szCs w:val="20"/>
        </w:rPr>
        <w:t xml:space="preserve"> </w:t>
      </w:r>
      <w:r w:rsidR="00611D70">
        <w:rPr>
          <w:sz w:val="20"/>
          <w:szCs w:val="20"/>
        </w:rPr>
        <w:t xml:space="preserve">In: </w:t>
      </w:r>
      <w:r w:rsidR="00611D70" w:rsidRPr="00695D45">
        <w:rPr>
          <w:i/>
          <w:sz w:val="20"/>
          <w:szCs w:val="20"/>
        </w:rPr>
        <w:t>88</w:t>
      </w:r>
      <w:r w:rsidR="00611D70" w:rsidRPr="00695D45">
        <w:rPr>
          <w:i/>
          <w:sz w:val="20"/>
          <w:szCs w:val="20"/>
          <w:vertAlign w:val="superscript"/>
        </w:rPr>
        <w:t>th</w:t>
      </w:r>
      <w:r w:rsidR="00611D70" w:rsidRPr="00695D45">
        <w:rPr>
          <w:i/>
          <w:sz w:val="20"/>
          <w:szCs w:val="20"/>
        </w:rPr>
        <w:t xml:space="preserve"> </w:t>
      </w:r>
      <w:r w:rsidR="00611D70" w:rsidRPr="00A64D71">
        <w:rPr>
          <w:i/>
          <w:sz w:val="20"/>
          <w:szCs w:val="20"/>
          <w:lang w:val="en-GB"/>
        </w:rPr>
        <w:t>Annual Meeting of the Transportation Research Board</w:t>
      </w:r>
      <w:r w:rsidR="00611D70" w:rsidRPr="00A64D71">
        <w:rPr>
          <w:sz w:val="20"/>
          <w:szCs w:val="20"/>
          <w:lang w:val="en-GB"/>
        </w:rPr>
        <w:t xml:space="preserve">. </w:t>
      </w:r>
      <w:r w:rsidR="00611D70" w:rsidRPr="00A64D71">
        <w:rPr>
          <w:iCs/>
          <w:sz w:val="20"/>
          <w:szCs w:val="20"/>
          <w:lang w:val="en-GB"/>
        </w:rPr>
        <w:t>Washington, DC</w:t>
      </w:r>
      <w:r w:rsidR="00611D70">
        <w:rPr>
          <w:iCs/>
          <w:sz w:val="20"/>
          <w:szCs w:val="20"/>
          <w:lang w:val="en-GB"/>
        </w:rPr>
        <w:t>, USA, 11-15 January 2009.</w:t>
      </w:r>
    </w:p>
    <w:p w:rsidR="00802EC4" w:rsidRPr="00802EC4" w:rsidRDefault="00802EC4" w:rsidP="000D3C82">
      <w:pPr>
        <w:ind w:left="360" w:hanging="360"/>
        <w:jc w:val="both"/>
        <w:rPr>
          <w:bCs/>
          <w:sz w:val="20"/>
          <w:szCs w:val="20"/>
        </w:rPr>
      </w:pPr>
      <w:proofErr w:type="spellStart"/>
      <w:proofErr w:type="gramStart"/>
      <w:r w:rsidRPr="00802EC4">
        <w:rPr>
          <w:bCs/>
          <w:sz w:val="20"/>
          <w:szCs w:val="20"/>
        </w:rPr>
        <w:lastRenderedPageBreak/>
        <w:t>Yáñez</w:t>
      </w:r>
      <w:proofErr w:type="spellEnd"/>
      <w:r w:rsidRPr="00802EC4">
        <w:rPr>
          <w:bCs/>
          <w:sz w:val="20"/>
          <w:szCs w:val="20"/>
        </w:rPr>
        <w:t>, M</w:t>
      </w:r>
      <w:r w:rsidR="005B06B7">
        <w:rPr>
          <w:bCs/>
          <w:sz w:val="20"/>
          <w:szCs w:val="20"/>
        </w:rPr>
        <w:t>.</w:t>
      </w:r>
      <w:r w:rsidRPr="00802EC4">
        <w:rPr>
          <w:bCs/>
          <w:sz w:val="20"/>
          <w:szCs w:val="20"/>
        </w:rPr>
        <w:t>F</w:t>
      </w:r>
      <w:r w:rsidR="005B06B7">
        <w:rPr>
          <w:bCs/>
          <w:sz w:val="20"/>
          <w:szCs w:val="20"/>
        </w:rPr>
        <w:t>.,</w:t>
      </w:r>
      <w:r w:rsidRPr="00802EC4">
        <w:rPr>
          <w:bCs/>
          <w:sz w:val="20"/>
          <w:szCs w:val="20"/>
        </w:rPr>
        <w:t xml:space="preserve"> Cherchi, E</w:t>
      </w:r>
      <w:r w:rsidR="005B06B7">
        <w:rPr>
          <w:bCs/>
          <w:sz w:val="20"/>
          <w:szCs w:val="20"/>
        </w:rPr>
        <w:t>. and</w:t>
      </w:r>
      <w:r w:rsidR="00863995">
        <w:rPr>
          <w:bCs/>
          <w:sz w:val="20"/>
          <w:szCs w:val="20"/>
        </w:rPr>
        <w:t xml:space="preserve"> </w:t>
      </w:r>
      <w:r w:rsidRPr="00802EC4">
        <w:rPr>
          <w:bCs/>
          <w:sz w:val="20"/>
          <w:szCs w:val="20"/>
        </w:rPr>
        <w:t>Ortúzar, J</w:t>
      </w:r>
      <w:r w:rsidR="005B06B7">
        <w:rPr>
          <w:bCs/>
          <w:sz w:val="20"/>
          <w:szCs w:val="20"/>
        </w:rPr>
        <w:t>.</w:t>
      </w:r>
      <w:r w:rsidRPr="00802EC4">
        <w:rPr>
          <w:bCs/>
          <w:sz w:val="20"/>
          <w:szCs w:val="20"/>
        </w:rPr>
        <w:t>de D</w:t>
      </w:r>
      <w:r w:rsidR="005B06B7">
        <w:rPr>
          <w:bCs/>
          <w:sz w:val="20"/>
          <w:szCs w:val="20"/>
        </w:rPr>
        <w:t xml:space="preserve">., </w:t>
      </w:r>
      <w:r w:rsidRPr="00802EC4">
        <w:rPr>
          <w:bCs/>
          <w:sz w:val="20"/>
          <w:szCs w:val="20"/>
        </w:rPr>
        <w:t>2010.</w:t>
      </w:r>
      <w:proofErr w:type="gramEnd"/>
      <w:r w:rsidRPr="00802EC4">
        <w:rPr>
          <w:bCs/>
          <w:sz w:val="20"/>
          <w:szCs w:val="20"/>
        </w:rPr>
        <w:t xml:space="preserve"> </w:t>
      </w:r>
      <w:proofErr w:type="gramStart"/>
      <w:r w:rsidRPr="00802EC4">
        <w:rPr>
          <w:sz w:val="20"/>
          <w:szCs w:val="20"/>
        </w:rPr>
        <w:t xml:space="preserve">Defining </w:t>
      </w:r>
      <w:r w:rsidR="005B06B7" w:rsidRPr="00802EC4">
        <w:rPr>
          <w:sz w:val="20"/>
          <w:szCs w:val="20"/>
        </w:rPr>
        <w:t xml:space="preserve">inter-alternative error structures for joint RP-SP </w:t>
      </w:r>
      <w:proofErr w:type="spellStart"/>
      <w:r w:rsidR="005B06B7" w:rsidRPr="00802EC4">
        <w:rPr>
          <w:sz w:val="20"/>
          <w:szCs w:val="20"/>
        </w:rPr>
        <w:t>modelling</w:t>
      </w:r>
      <w:proofErr w:type="spellEnd"/>
      <w:r w:rsidR="005B06B7" w:rsidRPr="00802EC4">
        <w:rPr>
          <w:sz w:val="20"/>
          <w:szCs w:val="20"/>
        </w:rPr>
        <w:t>: some new evidence</w:t>
      </w:r>
      <w:r w:rsidR="005B06B7">
        <w:rPr>
          <w:sz w:val="20"/>
          <w:szCs w:val="20"/>
        </w:rPr>
        <w:t>.</w:t>
      </w:r>
      <w:proofErr w:type="gramEnd"/>
      <w:r w:rsidR="005B06B7" w:rsidRPr="00802EC4">
        <w:rPr>
          <w:bCs/>
          <w:sz w:val="20"/>
          <w:szCs w:val="20"/>
        </w:rPr>
        <w:t xml:space="preserve"> </w:t>
      </w:r>
      <w:proofErr w:type="gramStart"/>
      <w:r w:rsidRPr="005B06B7">
        <w:rPr>
          <w:bCs/>
          <w:i/>
          <w:sz w:val="20"/>
          <w:szCs w:val="20"/>
        </w:rPr>
        <w:t>Transportation Research Record</w:t>
      </w:r>
      <w:r w:rsidRPr="00802EC4">
        <w:rPr>
          <w:bCs/>
          <w:sz w:val="20"/>
          <w:szCs w:val="20"/>
        </w:rPr>
        <w:t xml:space="preserve">, 2175, </w:t>
      </w:r>
      <w:r w:rsidR="005B06B7">
        <w:rPr>
          <w:bCs/>
          <w:sz w:val="20"/>
          <w:szCs w:val="20"/>
        </w:rPr>
        <w:t>pp.</w:t>
      </w:r>
      <w:r w:rsidRPr="00802EC4">
        <w:rPr>
          <w:bCs/>
          <w:sz w:val="20"/>
          <w:szCs w:val="20"/>
        </w:rPr>
        <w:t>65-73.</w:t>
      </w:r>
      <w:proofErr w:type="gramEnd"/>
    </w:p>
    <w:p w:rsidR="00F20643" w:rsidRPr="000D3C82" w:rsidRDefault="00E7546E" w:rsidP="000D3C82">
      <w:pPr>
        <w:ind w:left="360" w:hanging="360"/>
        <w:jc w:val="both"/>
        <w:rPr>
          <w:bCs/>
          <w:sz w:val="20"/>
          <w:szCs w:val="20"/>
        </w:rPr>
      </w:pPr>
      <w:proofErr w:type="spellStart"/>
      <w:proofErr w:type="gramStart"/>
      <w:r w:rsidRPr="00802EC4">
        <w:rPr>
          <w:bCs/>
          <w:sz w:val="20"/>
          <w:szCs w:val="20"/>
        </w:rPr>
        <w:t>Yáñez</w:t>
      </w:r>
      <w:proofErr w:type="spellEnd"/>
      <w:r w:rsidRPr="00802EC4">
        <w:rPr>
          <w:bCs/>
          <w:sz w:val="20"/>
          <w:szCs w:val="20"/>
        </w:rPr>
        <w:t>, M</w:t>
      </w:r>
      <w:r>
        <w:rPr>
          <w:bCs/>
          <w:sz w:val="20"/>
          <w:szCs w:val="20"/>
        </w:rPr>
        <w:t>.</w:t>
      </w:r>
      <w:r w:rsidRPr="00802EC4">
        <w:rPr>
          <w:bCs/>
          <w:sz w:val="20"/>
          <w:szCs w:val="20"/>
        </w:rPr>
        <w:t>F</w:t>
      </w:r>
      <w:r>
        <w:rPr>
          <w:bCs/>
          <w:sz w:val="20"/>
          <w:szCs w:val="20"/>
        </w:rPr>
        <w:t>.,</w:t>
      </w:r>
      <w:r w:rsidRPr="00802EC4">
        <w:rPr>
          <w:bCs/>
          <w:sz w:val="20"/>
          <w:szCs w:val="20"/>
        </w:rPr>
        <w:t xml:space="preserve"> Cherchi, E</w:t>
      </w:r>
      <w:r>
        <w:rPr>
          <w:bCs/>
          <w:sz w:val="20"/>
          <w:szCs w:val="20"/>
        </w:rPr>
        <w:t xml:space="preserve">., </w:t>
      </w:r>
      <w:proofErr w:type="spellStart"/>
      <w:r w:rsidR="00802EC4" w:rsidRPr="00802EC4">
        <w:rPr>
          <w:bCs/>
          <w:sz w:val="20"/>
          <w:szCs w:val="20"/>
        </w:rPr>
        <w:t>Heydecker</w:t>
      </w:r>
      <w:proofErr w:type="spellEnd"/>
      <w:r w:rsidR="00802EC4" w:rsidRPr="00802EC4">
        <w:rPr>
          <w:bCs/>
          <w:sz w:val="20"/>
          <w:szCs w:val="20"/>
        </w:rPr>
        <w:t>, B</w:t>
      </w:r>
      <w:r>
        <w:rPr>
          <w:bCs/>
          <w:sz w:val="20"/>
          <w:szCs w:val="20"/>
        </w:rPr>
        <w:t>.</w:t>
      </w:r>
      <w:r w:rsidR="007906BC">
        <w:rPr>
          <w:bCs/>
          <w:sz w:val="20"/>
          <w:szCs w:val="20"/>
        </w:rPr>
        <w:t>G.</w:t>
      </w:r>
      <w:r>
        <w:rPr>
          <w:bCs/>
          <w:sz w:val="20"/>
          <w:szCs w:val="20"/>
        </w:rPr>
        <w:t xml:space="preserve"> and</w:t>
      </w:r>
      <w:r w:rsidR="00802EC4" w:rsidRPr="00802EC4">
        <w:rPr>
          <w:bCs/>
          <w:sz w:val="20"/>
          <w:szCs w:val="20"/>
        </w:rPr>
        <w:t xml:space="preserve"> Ortúzar, J</w:t>
      </w:r>
      <w:r>
        <w:rPr>
          <w:bCs/>
          <w:sz w:val="20"/>
          <w:szCs w:val="20"/>
        </w:rPr>
        <w:t>.</w:t>
      </w:r>
      <w:r w:rsidR="00802EC4" w:rsidRPr="00802EC4">
        <w:rPr>
          <w:bCs/>
          <w:sz w:val="20"/>
          <w:szCs w:val="20"/>
        </w:rPr>
        <w:t>de D</w:t>
      </w:r>
      <w:r>
        <w:rPr>
          <w:bCs/>
          <w:sz w:val="20"/>
          <w:szCs w:val="20"/>
        </w:rPr>
        <w:t xml:space="preserve">., </w:t>
      </w:r>
      <w:r w:rsidR="00802EC4" w:rsidRPr="00802EC4">
        <w:rPr>
          <w:bCs/>
          <w:sz w:val="20"/>
          <w:szCs w:val="20"/>
        </w:rPr>
        <w:t>201</w:t>
      </w:r>
      <w:r w:rsidR="00A10791">
        <w:rPr>
          <w:bCs/>
          <w:sz w:val="20"/>
          <w:szCs w:val="20"/>
        </w:rPr>
        <w:t>1</w:t>
      </w:r>
      <w:r w:rsidR="00802EC4" w:rsidRPr="00802EC4">
        <w:rPr>
          <w:bCs/>
          <w:sz w:val="20"/>
          <w:szCs w:val="20"/>
        </w:rPr>
        <w:t>.</w:t>
      </w:r>
      <w:proofErr w:type="gramEnd"/>
      <w:r w:rsidR="00802EC4" w:rsidRPr="00802EC4">
        <w:rPr>
          <w:bCs/>
          <w:sz w:val="20"/>
          <w:szCs w:val="20"/>
        </w:rPr>
        <w:t xml:space="preserve"> On the treatment of the repeated observations in panel data: efficiency of </w:t>
      </w:r>
      <w:r w:rsidRPr="00802EC4">
        <w:rPr>
          <w:bCs/>
          <w:sz w:val="20"/>
          <w:szCs w:val="20"/>
        </w:rPr>
        <w:t xml:space="preserve">mixed </w:t>
      </w:r>
      <w:proofErr w:type="spellStart"/>
      <w:r w:rsidRPr="00802EC4">
        <w:rPr>
          <w:bCs/>
          <w:sz w:val="20"/>
          <w:szCs w:val="20"/>
        </w:rPr>
        <w:t>logit</w:t>
      </w:r>
      <w:proofErr w:type="spellEnd"/>
      <w:r w:rsidRPr="00802EC4">
        <w:rPr>
          <w:bCs/>
          <w:sz w:val="20"/>
          <w:szCs w:val="20"/>
        </w:rPr>
        <w:t xml:space="preserve"> parameter estimates</w:t>
      </w:r>
      <w:r w:rsidR="00802EC4" w:rsidRPr="00802EC4">
        <w:rPr>
          <w:bCs/>
          <w:sz w:val="20"/>
          <w:szCs w:val="20"/>
        </w:rPr>
        <w:t xml:space="preserve">. </w:t>
      </w:r>
      <w:proofErr w:type="gramStart"/>
      <w:r w:rsidR="00802EC4" w:rsidRPr="00E467E9">
        <w:rPr>
          <w:bCs/>
          <w:i/>
          <w:sz w:val="20"/>
          <w:szCs w:val="20"/>
        </w:rPr>
        <w:t>Networks and Spatial Economics</w:t>
      </w:r>
      <w:r w:rsidR="00802EC4" w:rsidRPr="00802EC4">
        <w:rPr>
          <w:bCs/>
          <w:sz w:val="20"/>
          <w:szCs w:val="20"/>
        </w:rPr>
        <w:t xml:space="preserve">, </w:t>
      </w:r>
      <w:r w:rsidR="00E467E9">
        <w:rPr>
          <w:bCs/>
          <w:sz w:val="20"/>
          <w:szCs w:val="20"/>
        </w:rPr>
        <w:t>11(3), pp.393-418.</w:t>
      </w:r>
      <w:proofErr w:type="gramEnd"/>
    </w:p>
    <w:sectPr w:rsidR="00F20643" w:rsidRPr="000D3C82" w:rsidSect="007B05DD">
      <w:headerReference w:type="even" r:id="rId8"/>
      <w:headerReference w:type="default" r:id="rId9"/>
      <w:footerReference w:type="even" r:id="rId10"/>
      <w:footerReference w:type="default" r:id="rId11"/>
      <w:pgSz w:w="8640" w:h="12960"/>
      <w:pgMar w:top="1080" w:right="432" w:bottom="720" w:left="720" w:header="720" w:footer="720" w:gutter="288"/>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3BE" w:rsidRDefault="007663BE">
      <w:r>
        <w:separator/>
      </w:r>
    </w:p>
  </w:endnote>
  <w:endnote w:type="continuationSeparator" w:id="0">
    <w:p w:rsidR="007663BE" w:rsidRDefault="007663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70" w:rsidRDefault="008F0970" w:rsidP="00371D35">
    <w:pPr>
      <w:pStyle w:val="Footer"/>
      <w:framePr w:wrap="around" w:vAnchor="text" w:hAnchor="margin" w:xAlign="right" w:y="1"/>
      <w:rPr>
        <w:rStyle w:val="PageNumber"/>
      </w:rPr>
    </w:pPr>
  </w:p>
  <w:p w:rsidR="008F0970" w:rsidRDefault="008F0970" w:rsidP="001D48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70" w:rsidRDefault="008F0970" w:rsidP="001D48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3BE" w:rsidRDefault="007663BE">
      <w:r>
        <w:separator/>
      </w:r>
    </w:p>
  </w:footnote>
  <w:footnote w:type="continuationSeparator" w:id="0">
    <w:p w:rsidR="007663BE" w:rsidRDefault="0076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70" w:rsidRPr="004814C0" w:rsidRDefault="00EF5686" w:rsidP="004814C0">
    <w:pPr>
      <w:rPr>
        <w:i/>
        <w:sz w:val="16"/>
        <w:szCs w:val="28"/>
      </w:rPr>
    </w:pPr>
    <w:r w:rsidRPr="00C1367C">
      <w:rPr>
        <w:i/>
        <w:sz w:val="16"/>
        <w:szCs w:val="28"/>
      </w:rPr>
      <w:fldChar w:fldCharType="begin"/>
    </w:r>
    <w:r w:rsidR="008F0970" w:rsidRPr="00C1367C">
      <w:rPr>
        <w:i/>
        <w:sz w:val="16"/>
        <w:szCs w:val="28"/>
      </w:rPr>
      <w:instrText xml:space="preserve"> PAGE   \* MERGEFORMAT </w:instrText>
    </w:r>
    <w:r w:rsidRPr="00C1367C">
      <w:rPr>
        <w:i/>
        <w:sz w:val="16"/>
        <w:szCs w:val="28"/>
      </w:rPr>
      <w:fldChar w:fldCharType="separate"/>
    </w:r>
    <w:r w:rsidR="00AB1902">
      <w:rPr>
        <w:i/>
        <w:noProof/>
        <w:sz w:val="16"/>
        <w:szCs w:val="28"/>
      </w:rPr>
      <w:t>12</w:t>
    </w:r>
    <w:r w:rsidRPr="00C1367C">
      <w:rPr>
        <w:i/>
        <w:sz w:val="16"/>
        <w:szCs w:val="28"/>
      </w:rPr>
      <w:fldChar w:fldCharType="end"/>
    </w:r>
    <w:r w:rsidR="008F0970">
      <w:rPr>
        <w:i/>
        <w:sz w:val="16"/>
        <w:szCs w:val="28"/>
      </w:rPr>
      <w:t xml:space="preserve"> </w:t>
    </w:r>
    <w:r w:rsidR="00684481">
      <w:rPr>
        <w:i/>
        <w:sz w:val="16"/>
        <w:szCs w:val="28"/>
      </w:rPr>
      <w:t xml:space="preserve">    </w:t>
    </w:r>
    <w:r w:rsidR="008F0970">
      <w:rPr>
        <w:i/>
        <w:sz w:val="16"/>
        <w:szCs w:val="28"/>
      </w:rPr>
      <w:t>Methodological Developments in Activity-Travel Behavior Analysis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70" w:rsidRPr="004814C0" w:rsidRDefault="008F0970" w:rsidP="004814C0">
    <w:pPr>
      <w:pStyle w:val="Header"/>
      <w:jc w:val="right"/>
      <w:rPr>
        <w:i/>
        <w:sz w:val="16"/>
      </w:rPr>
    </w:pPr>
    <w:r>
      <w:rPr>
        <w:i/>
        <w:sz w:val="16"/>
      </w:rPr>
      <w:t>Resource Papers</w:t>
    </w:r>
    <w:r w:rsidR="00684481">
      <w:rPr>
        <w:i/>
        <w:sz w:val="16"/>
      </w:rPr>
      <w:t xml:space="preserve">    </w:t>
    </w:r>
    <w:r>
      <w:rPr>
        <w:i/>
        <w:sz w:val="16"/>
      </w:rPr>
      <w:t xml:space="preserve"> </w:t>
    </w:r>
    <w:r w:rsidR="00EF5686" w:rsidRPr="004814C0">
      <w:rPr>
        <w:i/>
        <w:sz w:val="16"/>
      </w:rPr>
      <w:fldChar w:fldCharType="begin"/>
    </w:r>
    <w:r w:rsidRPr="004814C0">
      <w:rPr>
        <w:i/>
        <w:sz w:val="16"/>
      </w:rPr>
      <w:instrText xml:space="preserve"> PAGE   \* MERGEFORMAT </w:instrText>
    </w:r>
    <w:r w:rsidR="00EF5686" w:rsidRPr="004814C0">
      <w:rPr>
        <w:i/>
        <w:sz w:val="16"/>
      </w:rPr>
      <w:fldChar w:fldCharType="separate"/>
    </w:r>
    <w:r w:rsidR="00AB1902">
      <w:rPr>
        <w:i/>
        <w:noProof/>
        <w:sz w:val="16"/>
      </w:rPr>
      <w:t>13</w:t>
    </w:r>
    <w:r w:rsidR="00EF5686" w:rsidRPr="004814C0">
      <w:rPr>
        <w:i/>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9">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7"/>
  </w:num>
  <w:num w:numId="7">
    <w:abstractNumId w:val="11"/>
  </w:num>
  <w:num w:numId="8">
    <w:abstractNumId w:val="9"/>
  </w:num>
  <w:num w:numId="9">
    <w:abstractNumId w:val="10"/>
  </w:num>
  <w:num w:numId="10">
    <w:abstractNumId w:val="1"/>
  </w:num>
  <w:num w:numId="11">
    <w:abstractNumId w:val="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hideSpellingErrors/>
  <w:hideGrammaticalErrors/>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663A3"/>
    <w:rsid w:val="00025EC1"/>
    <w:rsid w:val="00041444"/>
    <w:rsid w:val="00053E09"/>
    <w:rsid w:val="0005517A"/>
    <w:rsid w:val="00056052"/>
    <w:rsid w:val="00060013"/>
    <w:rsid w:val="000669CF"/>
    <w:rsid w:val="00077D2B"/>
    <w:rsid w:val="00082766"/>
    <w:rsid w:val="00083243"/>
    <w:rsid w:val="00095247"/>
    <w:rsid w:val="000A0958"/>
    <w:rsid w:val="000D3C82"/>
    <w:rsid w:val="000E12AF"/>
    <w:rsid w:val="000E38E7"/>
    <w:rsid w:val="000E5234"/>
    <w:rsid w:val="000F315F"/>
    <w:rsid w:val="000F4DE0"/>
    <w:rsid w:val="001032D1"/>
    <w:rsid w:val="0011205B"/>
    <w:rsid w:val="00114A15"/>
    <w:rsid w:val="00125258"/>
    <w:rsid w:val="001449B8"/>
    <w:rsid w:val="00166525"/>
    <w:rsid w:val="00171AE4"/>
    <w:rsid w:val="00177496"/>
    <w:rsid w:val="00177D4B"/>
    <w:rsid w:val="00184F76"/>
    <w:rsid w:val="00193931"/>
    <w:rsid w:val="00195ED4"/>
    <w:rsid w:val="001C679E"/>
    <w:rsid w:val="001D482B"/>
    <w:rsid w:val="001E1686"/>
    <w:rsid w:val="002009E3"/>
    <w:rsid w:val="0020256F"/>
    <w:rsid w:val="002063A0"/>
    <w:rsid w:val="00213CD8"/>
    <w:rsid w:val="00242F79"/>
    <w:rsid w:val="0025743F"/>
    <w:rsid w:val="00261C97"/>
    <w:rsid w:val="0027087F"/>
    <w:rsid w:val="00293ACA"/>
    <w:rsid w:val="002A2FA3"/>
    <w:rsid w:val="002A7868"/>
    <w:rsid w:val="002B232C"/>
    <w:rsid w:val="002B5E3B"/>
    <w:rsid w:val="002C0F01"/>
    <w:rsid w:val="002E49A4"/>
    <w:rsid w:val="002F084D"/>
    <w:rsid w:val="002F5DFA"/>
    <w:rsid w:val="002F7DCF"/>
    <w:rsid w:val="003009B5"/>
    <w:rsid w:val="00310569"/>
    <w:rsid w:val="003155F5"/>
    <w:rsid w:val="00326E00"/>
    <w:rsid w:val="00366363"/>
    <w:rsid w:val="0037040E"/>
    <w:rsid w:val="00371D35"/>
    <w:rsid w:val="00380438"/>
    <w:rsid w:val="00387B31"/>
    <w:rsid w:val="00390A0F"/>
    <w:rsid w:val="00395136"/>
    <w:rsid w:val="003A0A84"/>
    <w:rsid w:val="003D26FF"/>
    <w:rsid w:val="003D4243"/>
    <w:rsid w:val="003D4CB6"/>
    <w:rsid w:val="003D4CBF"/>
    <w:rsid w:val="003E0F59"/>
    <w:rsid w:val="003E7F7F"/>
    <w:rsid w:val="003F306D"/>
    <w:rsid w:val="004274C6"/>
    <w:rsid w:val="00433E53"/>
    <w:rsid w:val="004403D0"/>
    <w:rsid w:val="00443C95"/>
    <w:rsid w:val="00444E24"/>
    <w:rsid w:val="004450ED"/>
    <w:rsid w:val="004530D5"/>
    <w:rsid w:val="00470AFF"/>
    <w:rsid w:val="004814C0"/>
    <w:rsid w:val="004817A6"/>
    <w:rsid w:val="00497114"/>
    <w:rsid w:val="004A106E"/>
    <w:rsid w:val="004A142D"/>
    <w:rsid w:val="004A5A3E"/>
    <w:rsid w:val="004B4E96"/>
    <w:rsid w:val="004C3950"/>
    <w:rsid w:val="004D560A"/>
    <w:rsid w:val="004D635F"/>
    <w:rsid w:val="004E3665"/>
    <w:rsid w:val="005015ED"/>
    <w:rsid w:val="00506418"/>
    <w:rsid w:val="00507DCB"/>
    <w:rsid w:val="005102FC"/>
    <w:rsid w:val="005115FC"/>
    <w:rsid w:val="00515A69"/>
    <w:rsid w:val="00551068"/>
    <w:rsid w:val="00560E3C"/>
    <w:rsid w:val="00562E64"/>
    <w:rsid w:val="00577299"/>
    <w:rsid w:val="00585D17"/>
    <w:rsid w:val="00594115"/>
    <w:rsid w:val="005A0E65"/>
    <w:rsid w:val="005A7B80"/>
    <w:rsid w:val="005B06B7"/>
    <w:rsid w:val="005B4612"/>
    <w:rsid w:val="005C2103"/>
    <w:rsid w:val="005C55FA"/>
    <w:rsid w:val="005C5BBE"/>
    <w:rsid w:val="005C79AB"/>
    <w:rsid w:val="005D6680"/>
    <w:rsid w:val="005D66FC"/>
    <w:rsid w:val="005E4624"/>
    <w:rsid w:val="005E6160"/>
    <w:rsid w:val="005F1E8F"/>
    <w:rsid w:val="00611D70"/>
    <w:rsid w:val="006276F3"/>
    <w:rsid w:val="00654C4F"/>
    <w:rsid w:val="00660448"/>
    <w:rsid w:val="006612AE"/>
    <w:rsid w:val="00663633"/>
    <w:rsid w:val="00674812"/>
    <w:rsid w:val="00684481"/>
    <w:rsid w:val="00684916"/>
    <w:rsid w:val="00691105"/>
    <w:rsid w:val="00695D45"/>
    <w:rsid w:val="006A1331"/>
    <w:rsid w:val="006A4013"/>
    <w:rsid w:val="006B4E16"/>
    <w:rsid w:val="006B6CEB"/>
    <w:rsid w:val="006C4696"/>
    <w:rsid w:val="006C78B9"/>
    <w:rsid w:val="006D395C"/>
    <w:rsid w:val="006D5FE2"/>
    <w:rsid w:val="006F00DC"/>
    <w:rsid w:val="006F3D98"/>
    <w:rsid w:val="006F591F"/>
    <w:rsid w:val="006F6DCE"/>
    <w:rsid w:val="00707B4B"/>
    <w:rsid w:val="007113B8"/>
    <w:rsid w:val="00711C50"/>
    <w:rsid w:val="007157CE"/>
    <w:rsid w:val="00725E57"/>
    <w:rsid w:val="0073701D"/>
    <w:rsid w:val="00743091"/>
    <w:rsid w:val="007444EA"/>
    <w:rsid w:val="00747BF4"/>
    <w:rsid w:val="0075081E"/>
    <w:rsid w:val="00755A3A"/>
    <w:rsid w:val="007633AD"/>
    <w:rsid w:val="007663BE"/>
    <w:rsid w:val="00770767"/>
    <w:rsid w:val="00770EAC"/>
    <w:rsid w:val="00775948"/>
    <w:rsid w:val="0077798B"/>
    <w:rsid w:val="007858C3"/>
    <w:rsid w:val="00785A66"/>
    <w:rsid w:val="007906BC"/>
    <w:rsid w:val="007909B9"/>
    <w:rsid w:val="007A2DCF"/>
    <w:rsid w:val="007B05DD"/>
    <w:rsid w:val="007B3907"/>
    <w:rsid w:val="007C05BE"/>
    <w:rsid w:val="007C2094"/>
    <w:rsid w:val="007C436E"/>
    <w:rsid w:val="007C6396"/>
    <w:rsid w:val="007D5DCD"/>
    <w:rsid w:val="007E59CA"/>
    <w:rsid w:val="00802EC4"/>
    <w:rsid w:val="0080725A"/>
    <w:rsid w:val="0081478E"/>
    <w:rsid w:val="00820E56"/>
    <w:rsid w:val="008245C8"/>
    <w:rsid w:val="00825403"/>
    <w:rsid w:val="00833669"/>
    <w:rsid w:val="00836135"/>
    <w:rsid w:val="00851126"/>
    <w:rsid w:val="00855A8D"/>
    <w:rsid w:val="00863777"/>
    <w:rsid w:val="00863995"/>
    <w:rsid w:val="00875596"/>
    <w:rsid w:val="00883730"/>
    <w:rsid w:val="00894639"/>
    <w:rsid w:val="008957AA"/>
    <w:rsid w:val="008A286F"/>
    <w:rsid w:val="008B0149"/>
    <w:rsid w:val="008B604C"/>
    <w:rsid w:val="008B6982"/>
    <w:rsid w:val="008D0561"/>
    <w:rsid w:val="008D4ED5"/>
    <w:rsid w:val="008F0970"/>
    <w:rsid w:val="008F1E93"/>
    <w:rsid w:val="008F5B3E"/>
    <w:rsid w:val="00901BF5"/>
    <w:rsid w:val="00907435"/>
    <w:rsid w:val="00930890"/>
    <w:rsid w:val="00931CF2"/>
    <w:rsid w:val="009516C1"/>
    <w:rsid w:val="00954472"/>
    <w:rsid w:val="0095744F"/>
    <w:rsid w:val="009769A7"/>
    <w:rsid w:val="009777DC"/>
    <w:rsid w:val="00980657"/>
    <w:rsid w:val="0099639A"/>
    <w:rsid w:val="00996A39"/>
    <w:rsid w:val="009B0E1E"/>
    <w:rsid w:val="009B3867"/>
    <w:rsid w:val="009C57C1"/>
    <w:rsid w:val="009C5FE1"/>
    <w:rsid w:val="009D08CC"/>
    <w:rsid w:val="009D5988"/>
    <w:rsid w:val="009E3103"/>
    <w:rsid w:val="009E5C58"/>
    <w:rsid w:val="009F2951"/>
    <w:rsid w:val="009F4362"/>
    <w:rsid w:val="00A01738"/>
    <w:rsid w:val="00A07057"/>
    <w:rsid w:val="00A10791"/>
    <w:rsid w:val="00A10916"/>
    <w:rsid w:val="00A34869"/>
    <w:rsid w:val="00A4055C"/>
    <w:rsid w:val="00A425EB"/>
    <w:rsid w:val="00A42701"/>
    <w:rsid w:val="00A512E2"/>
    <w:rsid w:val="00A51EF7"/>
    <w:rsid w:val="00A52300"/>
    <w:rsid w:val="00A613CA"/>
    <w:rsid w:val="00A61578"/>
    <w:rsid w:val="00A64C25"/>
    <w:rsid w:val="00A73096"/>
    <w:rsid w:val="00A76A33"/>
    <w:rsid w:val="00A81FF8"/>
    <w:rsid w:val="00AB02FA"/>
    <w:rsid w:val="00AB1902"/>
    <w:rsid w:val="00AC113C"/>
    <w:rsid w:val="00AC137C"/>
    <w:rsid w:val="00AD5CEA"/>
    <w:rsid w:val="00AE022C"/>
    <w:rsid w:val="00AE0CD5"/>
    <w:rsid w:val="00AE3B29"/>
    <w:rsid w:val="00AE7E21"/>
    <w:rsid w:val="00B1245C"/>
    <w:rsid w:val="00B30387"/>
    <w:rsid w:val="00B37C46"/>
    <w:rsid w:val="00B43A7D"/>
    <w:rsid w:val="00B71137"/>
    <w:rsid w:val="00B832B6"/>
    <w:rsid w:val="00B8414F"/>
    <w:rsid w:val="00BA0DF8"/>
    <w:rsid w:val="00BA7106"/>
    <w:rsid w:val="00BB3C2E"/>
    <w:rsid w:val="00BC3010"/>
    <w:rsid w:val="00BD5DF7"/>
    <w:rsid w:val="00BE1AE3"/>
    <w:rsid w:val="00BE42A0"/>
    <w:rsid w:val="00BE6BC6"/>
    <w:rsid w:val="00BF0F6B"/>
    <w:rsid w:val="00C02AF5"/>
    <w:rsid w:val="00C131C5"/>
    <w:rsid w:val="00C1367C"/>
    <w:rsid w:val="00C13E12"/>
    <w:rsid w:val="00C2051F"/>
    <w:rsid w:val="00C3065F"/>
    <w:rsid w:val="00C37C90"/>
    <w:rsid w:val="00C406AC"/>
    <w:rsid w:val="00C41D14"/>
    <w:rsid w:val="00C47D60"/>
    <w:rsid w:val="00C50A2B"/>
    <w:rsid w:val="00C663A3"/>
    <w:rsid w:val="00C71F55"/>
    <w:rsid w:val="00C801FD"/>
    <w:rsid w:val="00CA06BE"/>
    <w:rsid w:val="00CB1749"/>
    <w:rsid w:val="00CC0F4E"/>
    <w:rsid w:val="00CC1954"/>
    <w:rsid w:val="00CC2C86"/>
    <w:rsid w:val="00CD1EE8"/>
    <w:rsid w:val="00CE2884"/>
    <w:rsid w:val="00CE4F38"/>
    <w:rsid w:val="00CE5220"/>
    <w:rsid w:val="00CE6000"/>
    <w:rsid w:val="00CF6349"/>
    <w:rsid w:val="00D062CF"/>
    <w:rsid w:val="00D1478F"/>
    <w:rsid w:val="00D23B1F"/>
    <w:rsid w:val="00D260AE"/>
    <w:rsid w:val="00D4083B"/>
    <w:rsid w:val="00D4084A"/>
    <w:rsid w:val="00D40D52"/>
    <w:rsid w:val="00D51755"/>
    <w:rsid w:val="00D54AF1"/>
    <w:rsid w:val="00D56BE1"/>
    <w:rsid w:val="00D57AAE"/>
    <w:rsid w:val="00D74357"/>
    <w:rsid w:val="00D77F6B"/>
    <w:rsid w:val="00D80167"/>
    <w:rsid w:val="00D8536C"/>
    <w:rsid w:val="00D856E3"/>
    <w:rsid w:val="00DA4D94"/>
    <w:rsid w:val="00DC7882"/>
    <w:rsid w:val="00DE0EF3"/>
    <w:rsid w:val="00DE5CF2"/>
    <w:rsid w:val="00DE5F5D"/>
    <w:rsid w:val="00DF01E3"/>
    <w:rsid w:val="00DF0344"/>
    <w:rsid w:val="00DF26CE"/>
    <w:rsid w:val="00DF3B70"/>
    <w:rsid w:val="00DF4722"/>
    <w:rsid w:val="00DF4B93"/>
    <w:rsid w:val="00E02260"/>
    <w:rsid w:val="00E120AE"/>
    <w:rsid w:val="00E43CF5"/>
    <w:rsid w:val="00E467E9"/>
    <w:rsid w:val="00E60ADF"/>
    <w:rsid w:val="00E74AEF"/>
    <w:rsid w:val="00E7546E"/>
    <w:rsid w:val="00E75DED"/>
    <w:rsid w:val="00E83996"/>
    <w:rsid w:val="00EA2B55"/>
    <w:rsid w:val="00EA720B"/>
    <w:rsid w:val="00ED2A05"/>
    <w:rsid w:val="00EF2E92"/>
    <w:rsid w:val="00EF4D15"/>
    <w:rsid w:val="00EF5686"/>
    <w:rsid w:val="00F11F48"/>
    <w:rsid w:val="00F17301"/>
    <w:rsid w:val="00F20643"/>
    <w:rsid w:val="00F23ED7"/>
    <w:rsid w:val="00F36E9B"/>
    <w:rsid w:val="00F5191C"/>
    <w:rsid w:val="00F53869"/>
    <w:rsid w:val="00F5523B"/>
    <w:rsid w:val="00F56F5D"/>
    <w:rsid w:val="00F63F2C"/>
    <w:rsid w:val="00F65D6E"/>
    <w:rsid w:val="00F66CAC"/>
    <w:rsid w:val="00F71CBD"/>
    <w:rsid w:val="00F749EA"/>
    <w:rsid w:val="00F81214"/>
    <w:rsid w:val="00F84FA7"/>
    <w:rsid w:val="00FA5509"/>
    <w:rsid w:val="00FB6C61"/>
    <w:rsid w:val="00FD2318"/>
    <w:rsid w:val="00FD7B7B"/>
    <w:rsid w:val="00FE330B"/>
    <w:rsid w:val="00FE3F0B"/>
    <w:rsid w:val="00FE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paragraph" w:styleId="Heading1">
    <w:name w:val="heading 1"/>
    <w:basedOn w:val="Normal"/>
    <w:next w:val="Normal"/>
    <w:link w:val="Heading1Char"/>
    <w:qFormat/>
    <w:rsid w:val="00C13E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 w:type="paragraph" w:styleId="Title">
    <w:name w:val="Title"/>
    <w:basedOn w:val="Normal"/>
    <w:next w:val="Normal"/>
    <w:link w:val="TitleChar"/>
    <w:qFormat/>
    <w:rsid w:val="00C13E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13E12"/>
    <w:rPr>
      <w:rFonts w:asciiTheme="majorHAnsi" w:eastAsiaTheme="majorEastAsia" w:hAnsiTheme="majorHAnsi" w:cstheme="majorBidi"/>
      <w:color w:val="17365D" w:themeColor="text2" w:themeShade="BF"/>
      <w:spacing w:val="5"/>
      <w:kern w:val="28"/>
      <w:sz w:val="52"/>
      <w:szCs w:val="52"/>
      <w:lang w:eastAsia="ko-KR"/>
    </w:rPr>
  </w:style>
  <w:style w:type="character" w:customStyle="1" w:styleId="Heading1Char">
    <w:name w:val="Heading 1 Char"/>
    <w:basedOn w:val="DefaultParagraphFont"/>
    <w:link w:val="Heading1"/>
    <w:rsid w:val="00C13E12"/>
    <w:rPr>
      <w:rFonts w:asciiTheme="majorHAnsi" w:eastAsiaTheme="majorEastAsia" w:hAnsiTheme="majorHAnsi" w:cstheme="majorBidi"/>
      <w:b/>
      <w:bCs/>
      <w:color w:val="365F91" w:themeColor="accent1" w:themeShade="BF"/>
      <w:sz w:val="28"/>
      <w:szCs w:val="28"/>
      <w:lang w:eastAsia="ko-KR"/>
    </w:rPr>
  </w:style>
  <w:style w:type="character" w:styleId="PlaceholderText">
    <w:name w:val="Placeholder Text"/>
    <w:basedOn w:val="DefaultParagraphFont"/>
    <w:uiPriority w:val="99"/>
    <w:semiHidden/>
    <w:rsid w:val="00A523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paragraph" w:styleId="Heading1">
    <w:name w:val="heading 1"/>
    <w:basedOn w:val="Normal"/>
    <w:next w:val="Normal"/>
    <w:link w:val="Heading1Char"/>
    <w:qFormat/>
    <w:rsid w:val="00C13E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 w:type="paragraph" w:styleId="Title">
    <w:name w:val="Title"/>
    <w:basedOn w:val="Normal"/>
    <w:next w:val="Normal"/>
    <w:link w:val="TitleChar"/>
    <w:qFormat/>
    <w:rsid w:val="00C13E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13E12"/>
    <w:rPr>
      <w:rFonts w:asciiTheme="majorHAnsi" w:eastAsiaTheme="majorEastAsia" w:hAnsiTheme="majorHAnsi" w:cstheme="majorBidi"/>
      <w:color w:val="17365D" w:themeColor="text2" w:themeShade="BF"/>
      <w:spacing w:val="5"/>
      <w:kern w:val="28"/>
      <w:sz w:val="52"/>
      <w:szCs w:val="52"/>
      <w:lang w:eastAsia="ko-KR"/>
    </w:rPr>
  </w:style>
  <w:style w:type="character" w:customStyle="1" w:styleId="Heading1Char">
    <w:name w:val="Heading 1 Char"/>
    <w:basedOn w:val="DefaultParagraphFont"/>
    <w:link w:val="Heading1"/>
    <w:rsid w:val="00C13E12"/>
    <w:rPr>
      <w:rFonts w:asciiTheme="majorHAnsi" w:eastAsiaTheme="majorEastAsia" w:hAnsiTheme="majorHAnsi" w:cstheme="majorBidi"/>
      <w:b/>
      <w:bCs/>
      <w:color w:val="365F91" w:themeColor="accent1" w:themeShade="BF"/>
      <w:sz w:val="28"/>
      <w:szCs w:val="28"/>
      <w:lang w:eastAsia="ko-KR"/>
    </w:rPr>
  </w:style>
  <w:style w:type="character" w:styleId="PlaceholderText">
    <w:name w:val="Placeholder Text"/>
    <w:basedOn w:val="DefaultParagraphFont"/>
    <w:uiPriority w:val="99"/>
    <w:semiHidden/>
    <w:rsid w:val="00A52300"/>
    <w:rPr>
      <w:color w:val="808080"/>
    </w:rPr>
  </w:style>
</w:styles>
</file>

<file path=word/webSettings.xml><?xml version="1.0" encoding="utf-8"?>
<w:webSettings xmlns:r="http://schemas.openxmlformats.org/officeDocument/2006/relationships" xmlns:w="http://schemas.openxmlformats.org/wordprocessingml/2006/main">
  <w:divs>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9107-5033-4384-A84F-F4F6072A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29697</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None</cp:lastModifiedBy>
  <cp:revision>6</cp:revision>
  <cp:lastPrinted>2010-09-06T20:48:00Z</cp:lastPrinted>
  <dcterms:created xsi:type="dcterms:W3CDTF">2012-06-25T18:09:00Z</dcterms:created>
  <dcterms:modified xsi:type="dcterms:W3CDTF">2012-06-26T19:49:00Z</dcterms:modified>
</cp:coreProperties>
</file>